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b/>
          <w:color w:val="0F172A"/>
          <w:sz w:val="36"/>
        </w:rPr>
        <w:t>Pre-IPO Subscription Forecasting &amp; Decision Support System Using Multi-Model Ensembles, TreeSHAP Explainability, and Agentic Orchestration for Indian Mainboard Offerings</w:t>
      </w:r>
    </w:p>
    <w:p>
      <w:pPr>
        <w:keepNext/>
        <w:spacing w:before="200" w:after="80"/>
      </w:pPr>
      <w:r>
        <w:rPr>
          <w:rFonts w:ascii="Times New Roman" w:hAnsi="Times New Roman"/>
          <w:b/>
          <w:color w:val="334155"/>
          <w:sz w:val="24"/>
        </w:rPr>
        <w:t>(B. Tech. Project-2)</w:t>
      </w:r>
    </w:p>
    <w:p>
      <w:pPr>
        <w:keepNext/>
        <w:spacing w:before="280" w:after="120"/>
      </w:pPr>
      <w:r>
        <w:rPr>
          <w:rFonts w:ascii="Times New Roman" w:hAnsi="Times New Roman"/>
          <w:b/>
          <w:color w:val="1E293B"/>
          <w:sz w:val="28"/>
        </w:rPr>
        <w:t>A REPORT</w:t>
      </w:r>
    </w:p>
    <w:p>
      <w:pPr>
        <w:spacing w:after="120" w:line="276" w:lineRule="auto"/>
        <w:jc w:val="left"/>
      </w:pPr>
      <w:r>
        <w:t>Submitted by:</w:t>
      </w:r>
    </w:p>
    <w:p>
      <w:pPr>
        <w:pStyle w:val="ListBullet"/>
        <w:spacing w:after="60" w:line="276" w:lineRule="auto"/>
      </w:pPr>
      <w:r/>
      <w:r>
        <w:rPr>
          <w:b/>
        </w:rPr>
        <w:t>[Student 1 Full Name]</w:t>
      </w:r>
      <w:r>
        <w:t xml:space="preserve"> ([Student 1 Roll No / ID])</w:t>
      </w:r>
    </w:p>
    <w:p>
      <w:pPr>
        <w:pStyle w:val="ListBullet"/>
        <w:spacing w:after="60" w:line="276" w:lineRule="auto"/>
      </w:pPr>
      <w:r/>
      <w:r>
        <w:rPr>
          <w:b/>
        </w:rPr>
        <w:t>[Student 2 Full Name]</w:t>
      </w:r>
      <w:r>
        <w:t xml:space="preserve"> ([Student 2 Roll No / ID])</w:t>
      </w:r>
    </w:p>
    <w:p>
      <w:pPr>
        <w:spacing w:after="120" w:line="276" w:lineRule="auto"/>
        <w:jc w:val="left"/>
      </w:pPr>
      <w:r>
        <w:t>for the partial fulfillment of the requirements for Semester – VII of</w:t>
      </w:r>
    </w:p>
    <w:p>
      <w:pPr>
        <w:keepNext/>
        <w:spacing w:before="200" w:after="80"/>
      </w:pPr>
      <w:r>
        <w:rPr>
          <w:rFonts w:ascii="Times New Roman" w:hAnsi="Times New Roman"/>
          <w:b/>
          <w:color w:val="334155"/>
          <w:sz w:val="24"/>
        </w:rPr>
        <w:t>BACHELOR OF TECHNOLOGY</w:t>
      </w:r>
    </w:p>
    <w:p>
      <w:pPr>
        <w:spacing w:after="120" w:line="276" w:lineRule="auto"/>
        <w:jc w:val="left"/>
      </w:pPr>
      <w:r>
        <w:rPr>
          <w:b/>
        </w:rPr>
        <w:t>(INFORMATION TECHNOLOGY)</w:t>
      </w:r>
    </w:p>
    <w:p>
      <w:pPr>
        <w:spacing w:after="120" w:line="276" w:lineRule="auto"/>
        <w:jc w:val="left"/>
      </w:pPr>
      <w:r>
        <w:t>Under the guidance of:</w:t>
      </w:r>
    </w:p>
    <w:p>
      <w:pPr>
        <w:spacing w:after="120" w:line="276" w:lineRule="auto"/>
        <w:jc w:val="left"/>
      </w:pPr>
      <w:r>
        <w:rPr>
          <w:b/>
        </w:rPr>
        <w:t>Prof. [Guide Name]</w:t>
      </w:r>
    </w:p>
    <w:p>
      <w:pPr>
        <w:spacing w:after="120" w:line="276" w:lineRule="auto"/>
        <w:jc w:val="left"/>
      </w:pPr>
      <w:r>
        <w:t>Department of Information Technology, Dharmsinh Desai University, Nadiad.</w:t>
      </w:r>
    </w:p>
    <w:p>
      <w:r>
        <w:br w:type="page"/>
      </w:r>
    </w:p>
    <w:p>
      <w:pPr>
        <w:spacing w:before="80" w:after="160"/>
        <w:ind w:left="576"/>
      </w:pPr>
      <w:r>
        <w:rPr>
          <w:rFonts w:ascii="Consolas" w:hAnsi="Consolas"/>
          <w:color w:val="282828"/>
          <w:sz w:val="19"/>
        </w:rPr>
        <w:t xml:space="preserve">                       DEPARTMENT OF INFORMATION TECHNOLOGY</w:t>
        <w:br/>
        <w:t xml:space="preserve">                               FACULTY OF TECHNOLOGY</w:t>
        <w:br/>
        <w:t xml:space="preserve">                            DHARMSINH DESAI UNIVERSITY</w:t>
        <w:br/>
        <w:t xml:space="preserve">                               NADIAD – 387001, INDIA</w:t>
        <w:br/>
        <w:t xml:space="preserve">                                    NOVEMBER 2025</w:t>
      </w:r>
    </w:p>
    <w:p>
      <w:r>
        <w:br w:type="page"/>
      </w:r>
    </w:p>
    <w:p>
      <w:r>
        <w:br w:type="page"/>
      </w:r>
    </w:p>
    <w:p>
      <w:pPr>
        <w:keepNext/>
        <w:spacing w:before="280" w:after="120"/>
      </w:pPr>
      <w:r>
        <w:rPr>
          <w:rFonts w:ascii="Times New Roman" w:hAnsi="Times New Roman"/>
          <w:b/>
          <w:color w:val="1E293B"/>
          <w:sz w:val="28"/>
        </w:rPr>
        <w:t>Candidate Disclosure on the Use of AI Tools</w:t>
      </w:r>
    </w:p>
    <w:p>
      <w:pPr>
        <w:spacing w:after="120" w:line="276" w:lineRule="auto"/>
        <w:jc w:val="left"/>
      </w:pPr>
      <w:r>
        <w:t>In the process of developing this project and authoring this technical dissertation report, the following artificial intelligence tools and technologies were utilized responsibly:</w:t>
      </w:r>
    </w:p>
    <w:p>
      <w:pPr>
        <w:pStyle w:val="ListNumber"/>
        <w:spacing w:after="60" w:line="276" w:lineRule="auto"/>
      </w:pPr>
      <w:r/>
      <w:r>
        <w:rPr>
          <w:b/>
        </w:rPr>
        <w:t>Google Antigravity &amp; DeepSeek/Gemini Developer Assistants</w:t>
      </w:r>
      <w:r>
        <w:t>: Utilized for automated unit test generation, boilerplate API route scaffolding, and pair programming during refactoring of backend asynchronous monitoring routines.</w:t>
      </w:r>
    </w:p>
    <w:p>
      <w:pPr>
        <w:pStyle w:val="ListNumber"/>
        <w:spacing w:after="60" w:line="276" w:lineRule="auto"/>
      </w:pPr>
      <w:r/>
      <w:r>
        <w:rPr>
          <w:b/>
        </w:rPr>
        <w:t>FinBERT (ProsusAI/finbert)</w:t>
      </w:r>
      <w:r>
        <w:t>: Deployed inside the project pipeline for financial news natural language processing (NLP), extracting sentiment polarity scores (positive, negative, neutral) from published financial news articles prior to the 09:59:59 IST ex-ante cutoff timestamp.</w:t>
      </w:r>
    </w:p>
    <w:p>
      <w:pPr>
        <w:pStyle w:val="ListNumber"/>
        <w:spacing w:after="60" w:line="276" w:lineRule="auto"/>
      </w:pPr>
      <w:r/>
      <w:r>
        <w:rPr>
          <w:b/>
        </w:rPr>
        <w:t>SHAP (SHapley Additive exPlanations)</w:t>
      </w:r>
      <w:r>
        <w:t>: Utilized as a cooperative game-theoretic interpretability engine to generate local and global additive feature attributions for Tree-based gradient boosted models.</w:t>
      </w:r>
    </w:p>
    <w:p>
      <w:pPr>
        <w:pStyle w:val="ListNumber"/>
        <w:spacing w:after="60" w:line="276" w:lineRule="auto"/>
      </w:pPr>
      <w:r/>
      <w:r>
        <w:rPr>
          <w:b/>
        </w:rPr>
        <w:t>Grammarly (Academic Edition)</w:t>
      </w:r>
      <w:r>
        <w:t>: Utilized to audit technical grammar, spelling, stylistic consistency, and prose mechanics across dissertation draft sections.</w:t>
      </w:r>
    </w:p>
    <w:p>
      <w:pPr>
        <w:pStyle w:val="ListNumber"/>
        <w:spacing w:after="60" w:line="276" w:lineRule="auto"/>
      </w:pPr>
      <w:r/>
      <w:r>
        <w:rPr>
          <w:b/>
        </w:rPr>
        <w:t>Zotero (Open Source)</w:t>
      </w:r>
      <w:r>
        <w:t>: Utilized for bibliographic research management, organizing SEBI statutory guidelines, financial econometrics papers, and formatting IEEE reference citations.</w:t>
      </w:r>
    </w:p>
    <w:p>
      <w:r>
        <w:br w:type="page"/>
      </w:r>
    </w:p>
    <w:p>
      <w:r>
        <w:br w:type="page"/>
      </w:r>
    </w:p>
    <w:p>
      <w:pPr>
        <w:keepNext/>
        <w:spacing w:before="280" w:after="120"/>
      </w:pPr>
      <w:r>
        <w:rPr>
          <w:rFonts w:ascii="Times New Roman" w:hAnsi="Times New Roman"/>
          <w:b/>
          <w:color w:val="1E293B"/>
          <w:sz w:val="28"/>
        </w:rPr>
        <w:t>Candidate’s Declaration</w:t>
      </w:r>
    </w:p>
    <w:p>
      <w:pPr>
        <w:spacing w:after="120" w:line="276" w:lineRule="auto"/>
        <w:jc w:val="left"/>
      </w:pPr>
      <w:r>
        <w:t xml:space="preserve">We hereby declare that the dissertation (for B. Tech in Information Technology) titled </w:t>
      </w:r>
      <w:r>
        <w:rPr>
          <w:b/>
        </w:rPr>
        <w:t>“Pre-IPO Subscription Forecasting &amp; Decision Support System Using Multi-Model Ensembles, TreeSHAP Explainability, and Agentic Orchestration for Indian Mainboard Offerings”</w:t>
      </w:r>
      <w:r>
        <w:t xml:space="preserve"> is our own original work conducted under the guidance and supervision of </w:t>
      </w:r>
      <w:r>
        <w:rPr>
          <w:b/>
        </w:rPr>
        <w:t>Prof. [Guide Name]</w:t>
      </w:r>
      <w:r>
        <w:t>, Department of Information Technology, Faculty of Technology, Dharmsinh Desai University, Nadiad.</w:t>
      </w:r>
    </w:p>
    <w:p>
      <w:pPr>
        <w:spacing w:after="120" w:line="276" w:lineRule="auto"/>
        <w:jc w:val="left"/>
      </w:pPr>
      <w:r>
        <w:t>We further declare that to the best of our knowledge, this dissertation does not contain any part of work which has been submitted for the award of any degree or diploma either in this University or in any other University without proper and explicit academic citation.</w:t>
      </w:r>
    </w:p>
    <w:p>
      <w:pPr>
        <w:spacing w:after="120" w:line="276" w:lineRule="auto"/>
        <w:jc w:val="left"/>
      </w:pPr>
      <w:r>
        <w:t>\vspace{1.5cm}</w:t>
      </w:r>
    </w:p>
    <w:p>
      <w:pPr>
        <w:spacing w:after="120" w:line="276" w:lineRule="auto"/>
        <w:jc w:val="left"/>
      </w:pPr>
      <w:r>
        <w:t>-------------------------------------</w:t>
      </w:r>
    </w:p>
    <w:p>
      <w:pPr>
        <w:spacing w:after="120" w:line="276" w:lineRule="auto"/>
        <w:jc w:val="left"/>
      </w:pPr>
      <w:r>
        <w:rPr>
          <w:b/>
        </w:rPr>
        <w:t>[Student 1 Full Name]</w:t>
      </w:r>
    </w:p>
    <w:p>
      <w:pPr>
        <w:spacing w:after="120" w:line="276" w:lineRule="auto"/>
        <w:jc w:val="left"/>
      </w:pPr>
      <w:r>
        <w:t>(ID No. [Student 1 ID])</w:t>
      </w:r>
    </w:p>
    <w:p>
      <w:pPr>
        <w:spacing w:after="120" w:line="276" w:lineRule="auto"/>
        <w:jc w:val="left"/>
      </w:pPr>
      <w:r>
        <w:t>Department of Information Technology</w:t>
      </w:r>
    </w:p>
    <w:p>
      <w:pPr>
        <w:spacing w:after="120" w:line="276" w:lineRule="auto"/>
        <w:jc w:val="left"/>
      </w:pPr>
      <w:r>
        <w:t>Dharmsinh Desai University, Nadiad</w:t>
      </w:r>
    </w:p>
    <w:p>
      <w:pPr>
        <w:spacing w:after="120" w:line="276" w:lineRule="auto"/>
        <w:jc w:val="left"/>
      </w:pPr>
      <w:r>
        <w:t>\vspace{1.5cm}</w:t>
      </w:r>
    </w:p>
    <w:p>
      <w:pPr>
        <w:spacing w:after="120" w:line="276" w:lineRule="auto"/>
        <w:jc w:val="left"/>
      </w:pPr>
      <w:r>
        <w:t>-------------------------------------</w:t>
      </w:r>
    </w:p>
    <w:p>
      <w:pPr>
        <w:spacing w:after="120" w:line="276" w:lineRule="auto"/>
        <w:jc w:val="left"/>
      </w:pPr>
      <w:r>
        <w:rPr>
          <w:b/>
        </w:rPr>
        <w:t>[Student 2 Full Name]</w:t>
      </w:r>
    </w:p>
    <w:p>
      <w:pPr>
        <w:spacing w:after="120" w:line="276" w:lineRule="auto"/>
        <w:jc w:val="left"/>
      </w:pPr>
      <w:r>
        <w:t>(ID No. [Student 2 ID])</w:t>
      </w:r>
    </w:p>
    <w:p>
      <w:pPr>
        <w:spacing w:after="120" w:line="276" w:lineRule="auto"/>
        <w:jc w:val="left"/>
      </w:pPr>
      <w:r>
        <w:t>Department of Information Technology</w:t>
      </w:r>
    </w:p>
    <w:p>
      <w:pPr>
        <w:spacing w:after="120" w:line="276" w:lineRule="auto"/>
        <w:jc w:val="left"/>
      </w:pPr>
      <w:r>
        <w:t>Dharmsinh Desai University, Nadiad</w:t>
      </w:r>
    </w:p>
    <w:p>
      <w:pPr>
        <w:spacing w:after="120" w:line="276" w:lineRule="auto"/>
        <w:jc w:val="left"/>
      </w:pPr>
      <w:r>
        <w:t>Date: [Date of Submission]</w:t>
      </w:r>
    </w:p>
    <w:p>
      <w:pPr>
        <w:spacing w:after="120" w:line="276" w:lineRule="auto"/>
        <w:jc w:val="left"/>
      </w:pPr>
      <w:r>
        <w:t>Place: Nadiad, Gujarat, India</w:t>
      </w:r>
    </w:p>
    <w:p>
      <w:r>
        <w:br w:type="page"/>
      </w:r>
    </w:p>
    <w:p>
      <w:r>
        <w:br w:type="page"/>
      </w:r>
    </w:p>
    <w:p>
      <w:pPr>
        <w:keepNext/>
        <w:spacing w:before="280" w:after="120"/>
      </w:pPr>
      <w:r>
        <w:rPr>
          <w:rFonts w:ascii="Times New Roman" w:hAnsi="Times New Roman"/>
          <w:b/>
          <w:color w:val="1E293B"/>
          <w:sz w:val="28"/>
        </w:rPr>
        <w:t>CERTIFICATE</w:t>
      </w:r>
    </w:p>
    <w:p>
      <w:pPr>
        <w:spacing w:after="120" w:line="276" w:lineRule="auto"/>
        <w:jc w:val="left"/>
      </w:pPr>
      <w:r>
        <w:t xml:space="preserve">This is to certify that this Report of B. Tech. Project-2 submitted for the partial fulfillment of </w:t>
      </w:r>
      <w:r>
        <w:rPr>
          <w:b/>
        </w:rPr>
        <w:t>Bachelor of Technology Semester – VII</w:t>
      </w:r>
      <w:r>
        <w:t xml:space="preserve"> is a bona fide record of the work carried out by:</w:t>
      </w:r>
    </w:p>
    <w:p>
      <w:pPr>
        <w:pStyle w:val="ListBullet"/>
        <w:spacing w:after="60" w:line="276" w:lineRule="auto"/>
      </w:pPr>
      <w:r/>
      <w:r>
        <w:rPr>
          <w:b/>
        </w:rPr>
        <w:t>[FIRSTNAME MIDDLENAME SURNAME]</w:t>
      </w:r>
      <w:r>
        <w:t xml:space="preserve"> (ID No. [Student-1 ID]), B. Tech. Sem – VII (Information Technology): 2025–26</w:t>
      </w:r>
    </w:p>
    <w:p>
      <w:pPr>
        <w:pStyle w:val="ListBullet"/>
        <w:spacing w:after="60" w:line="276" w:lineRule="auto"/>
      </w:pPr>
      <w:r/>
      <w:r>
        <w:rPr>
          <w:b/>
        </w:rPr>
        <w:t>[FIRSTNAME MIDDLENAME SURNAME]</w:t>
      </w:r>
      <w:r>
        <w:t xml:space="preserve"> (ID No. [Student-2 ID]), B. Tech. Sem – VII (Information Technology): 2025–26</w:t>
      </w:r>
    </w:p>
    <w:p>
      <w:pPr>
        <w:spacing w:after="120" w:line="276" w:lineRule="auto"/>
        <w:jc w:val="left"/>
      </w:pPr>
      <w:r>
        <w:t>at the Department of Information Technology, Faculty of Technology, Dharmsinh Desai University, Nadiad.</w:t>
      </w:r>
    </w:p>
    <w:p>
      <w:pPr>
        <w:spacing w:after="120" w:line="276" w:lineRule="auto"/>
        <w:jc w:val="left"/>
      </w:pPr>
      <w:r>
        <w:t>\vspace{2.5cm}</w:t>
      </w:r>
    </w:p>
    <w:p>
      <w:pPr>
        <w:spacing w:after="120" w:line="276" w:lineRule="auto"/>
        <w:jc w:val="left"/>
      </w:pPr>
      <w:r>
        <w:t>------------------------------------------ \hfill ------------------------------------------</w:t>
      </w:r>
    </w:p>
    <w:p>
      <w:pPr>
        <w:spacing w:after="120" w:line="276" w:lineRule="auto"/>
        <w:jc w:val="left"/>
      </w:pPr>
      <w:r>
        <w:rPr>
          <w:b/>
        </w:rPr>
        <w:t>Prof. [Guide Name]</w:t>
      </w:r>
      <w:r>
        <w:t xml:space="preserve"> \hfill </w:t>
      </w:r>
      <w:r>
        <w:rPr>
          <w:b/>
        </w:rPr>
        <w:t>Prof. (Dr.) V. K. Dabhi</w:t>
      </w:r>
    </w:p>
    <w:p>
      <w:pPr>
        <w:spacing w:after="120" w:line="276" w:lineRule="auto"/>
        <w:jc w:val="left"/>
      </w:pPr>
      <w:r>
        <w:t>Guide &amp; Assistant/Associate Professor \hfill Head of Department</w:t>
      </w:r>
    </w:p>
    <w:p>
      <w:pPr>
        <w:spacing w:after="120" w:line="276" w:lineRule="auto"/>
        <w:jc w:val="left"/>
      </w:pPr>
      <w:r>
        <w:t>Department of Information Technology \hfill Department of Information Technology</w:t>
      </w:r>
    </w:p>
    <w:p>
      <w:pPr>
        <w:spacing w:after="120" w:line="276" w:lineRule="auto"/>
        <w:jc w:val="left"/>
      </w:pPr>
      <w:r>
        <w:t>Faculty of Technology \hfill Faculty of Technology</w:t>
      </w:r>
    </w:p>
    <w:p>
      <w:pPr>
        <w:spacing w:after="120" w:line="276" w:lineRule="auto"/>
        <w:jc w:val="left"/>
      </w:pPr>
      <w:r>
        <w:t>Dharmsinh Desai University, Nadiad \hfill Dharmsinh Desai University, Nadiad</w:t>
      </w:r>
    </w:p>
    <w:p>
      <w:pPr>
        <w:spacing w:after="120" w:line="276" w:lineRule="auto"/>
        <w:jc w:val="left"/>
      </w:pPr>
      <w:r>
        <w:t>\vspace{1.5cm}</w:t>
      </w:r>
    </w:p>
    <w:p>
      <w:pPr>
        <w:spacing w:after="120" w:line="276" w:lineRule="auto"/>
        <w:jc w:val="left"/>
      </w:pPr>
      <w:r>
        <w:rPr>
          <w:b/>
        </w:rPr>
        <w:t>Seal of the Department / Institution:</w:t>
      </w:r>
    </w:p>
    <w:p>
      <w:pPr>
        <w:spacing w:after="120" w:line="276" w:lineRule="auto"/>
        <w:jc w:val="left"/>
      </w:pPr>
      <w:r>
        <w:t>Department of Information Technology</w:t>
      </w:r>
    </w:p>
    <w:p>
      <w:pPr>
        <w:spacing w:after="120" w:line="276" w:lineRule="auto"/>
        <w:jc w:val="left"/>
      </w:pPr>
      <w:r>
        <w:t>Faculty of Technology, Dharmsinh Desai University</w:t>
      </w:r>
    </w:p>
    <w:p>
      <w:pPr>
        <w:spacing w:after="120" w:line="276" w:lineRule="auto"/>
        <w:jc w:val="left"/>
      </w:pPr>
      <w:r>
        <w:t>College Road, Nadiad – 387001, Gujarat, INDIA</w:t>
      </w:r>
    </w:p>
    <w:p>
      <w:r>
        <w:br w:type="page"/>
      </w:r>
    </w:p>
    <w:p>
      <w:r>
        <w:br w:type="page"/>
      </w:r>
    </w:p>
    <w:p>
      <w:pPr>
        <w:keepNext/>
        <w:spacing w:before="280" w:after="120"/>
      </w:pPr>
      <w:r>
        <w:rPr>
          <w:rFonts w:ascii="Times New Roman" w:hAnsi="Times New Roman"/>
          <w:b/>
          <w:color w:val="1E293B"/>
          <w:sz w:val="28"/>
        </w:rPr>
        <w:t>Acknowledgment</w:t>
      </w:r>
    </w:p>
    <w:p>
      <w:pPr>
        <w:spacing w:after="120" w:line="276" w:lineRule="auto"/>
        <w:jc w:val="left"/>
      </w:pPr>
      <w:r>
        <w:t xml:space="preserve">We express our deepest gratitude to our project guide, </w:t>
      </w:r>
      <w:r>
        <w:rPr>
          <w:b/>
        </w:rPr>
        <w:t>Prof. [Guide Name]</w:t>
      </w:r>
      <w:r>
        <w:t>, Department of Information Technology, Faculty of Technology, Dharmsinh Desai University, for his/her invaluable mentorship, constructive technical critiques, and continuous encouragement throughout the conception, modeling, and system deployment phases of this Project-2 dissertation.</w:t>
      </w:r>
    </w:p>
    <w:p>
      <w:pPr>
        <w:spacing w:after="120" w:line="276" w:lineRule="auto"/>
        <w:jc w:val="left"/>
      </w:pPr>
      <w:r>
        <w:t xml:space="preserve">We also convey our sincere thanks to </w:t>
      </w:r>
      <w:r>
        <w:rPr>
          <w:b/>
        </w:rPr>
        <w:t>Prof. (Dr.) V. K. Dabhi</w:t>
      </w:r>
      <w:r>
        <w:t>, Head of the Department of Information Technology, for providing the necessary computing resources, departmental laboratory infrastructure, and academic environment conducive to advanced machine learning and financial systems research.</w:t>
      </w:r>
    </w:p>
    <w:p>
      <w:pPr>
        <w:spacing w:after="120" w:line="276" w:lineRule="auto"/>
        <w:jc w:val="left"/>
      </w:pPr>
      <w:r>
        <w:t>We extend our warm thanks to all faculty members, technical laboratory assistants, and staff of the Department of Information Technology for their guidance and administrative assistance.</w:t>
      </w:r>
    </w:p>
    <w:p>
      <w:pPr>
        <w:spacing w:after="120" w:line="276" w:lineRule="auto"/>
        <w:jc w:val="left"/>
      </w:pPr>
      <w:r>
        <w:t>Finally, we express our profound gratitude to our parents, family members, and classmates for their moral support, understanding, and motivation throughout the duration of this research endeavor.</w:t>
      </w:r>
    </w:p>
    <w:p>
      <w:pPr>
        <w:spacing w:after="120" w:line="276" w:lineRule="auto"/>
        <w:jc w:val="left"/>
      </w:pPr>
      <w:r>
        <w:t>\vspace{1.5cm}</w:t>
      </w:r>
    </w:p>
    <w:p>
      <w:pPr>
        <w:spacing w:after="120" w:line="276" w:lineRule="auto"/>
        <w:jc w:val="left"/>
      </w:pPr>
      <w:r>
        <w:rPr>
          <w:b/>
        </w:rPr>
        <w:t>[Student 1 Full Name]</w:t>
      </w:r>
    </w:p>
    <w:p>
      <w:pPr>
        <w:spacing w:after="120" w:line="276" w:lineRule="auto"/>
        <w:jc w:val="left"/>
      </w:pPr>
      <w:r>
        <w:t>Dharmsinh Desai University, Nadiad</w:t>
      </w:r>
    </w:p>
    <w:p>
      <w:pPr>
        <w:spacing w:after="120" w:line="276" w:lineRule="auto"/>
        <w:jc w:val="left"/>
      </w:pPr>
      <w:r>
        <w:t>Email: [student1.email@ddu.ac.in]</w:t>
      </w:r>
    </w:p>
    <w:p>
      <w:pPr>
        <w:spacing w:after="120" w:line="276" w:lineRule="auto"/>
        <w:jc w:val="left"/>
      </w:pPr>
      <w:r>
        <w:rPr>
          <w:b/>
        </w:rPr>
        <w:t>[Student 2 Full Name]</w:t>
      </w:r>
    </w:p>
    <w:p>
      <w:pPr>
        <w:spacing w:after="120" w:line="276" w:lineRule="auto"/>
        <w:jc w:val="left"/>
      </w:pPr>
      <w:r>
        <w:t>Dharmsinh Desai University, Nadiad</w:t>
      </w:r>
    </w:p>
    <w:p>
      <w:pPr>
        <w:spacing w:after="120" w:line="276" w:lineRule="auto"/>
        <w:jc w:val="left"/>
      </w:pPr>
      <w:r>
        <w:t>Email: [student2.email@ddu.ac.in]</w:t>
      </w:r>
    </w:p>
    <w:p>
      <w:pPr>
        <w:spacing w:after="120" w:line="276" w:lineRule="auto"/>
        <w:jc w:val="left"/>
      </w:pPr>
      <w:r>
        <w:t>November 2025</w:t>
      </w:r>
    </w:p>
    <w:p>
      <w:pPr>
        <w:spacing w:after="120" w:line="276" w:lineRule="auto"/>
        <w:jc w:val="left"/>
      </w:pPr>
      <w:r>
        <w:t>Nadiad, Gujarat</w:t>
      </w:r>
    </w:p>
    <w:p>
      <w:r>
        <w:br w:type="page"/>
      </w:r>
    </w:p>
    <w:p>
      <w:r>
        <w:br w:type="page"/>
      </w:r>
    </w:p>
    <w:p>
      <w:pPr>
        <w:keepNext/>
        <w:spacing w:before="280" w:after="120"/>
      </w:pPr>
      <w:r>
        <w:rPr>
          <w:rFonts w:ascii="Times New Roman" w:hAnsi="Times New Roman"/>
          <w:b/>
          <w:color w:val="1E293B"/>
          <w:sz w:val="28"/>
        </w:rPr>
        <w:t>Abstract</w:t>
      </w:r>
    </w:p>
    <w:p>
      <w:pPr>
        <w:spacing w:after="120" w:line="276" w:lineRule="auto"/>
        <w:jc w:val="left"/>
      </w:pPr>
      <w:r>
        <w:rPr>
          <w:b/>
        </w:rPr>
        <w:t>Title of Project:</w:t>
      </w:r>
      <w:r>
        <w:t xml:space="preserve"> Pre-IPO Subscription Forecasting &amp; Decision Support System Using Multi-Model Ensembles, TreeSHAP Explainability, and Agentic Orchestration for Indian Mainboard Offerings</w:t>
      </w:r>
    </w:p>
    <w:p>
      <w:pPr>
        <w:spacing w:after="120" w:line="276" w:lineRule="auto"/>
        <w:jc w:val="left"/>
      </w:pPr>
      <w:r>
        <w:rPr>
          <w:b/>
        </w:rPr>
        <w:t>Project-2 by:</w:t>
      </w:r>
      <w:r>
        <w:t xml:space="preserve"> [Student 1 Full Name] and [Student 2 Full Name]</w:t>
      </w:r>
    </w:p>
    <w:p>
      <w:pPr>
        <w:spacing w:after="120" w:line="276" w:lineRule="auto"/>
        <w:jc w:val="left"/>
      </w:pPr>
      <w:r>
        <w:rPr>
          <w:b/>
        </w:rPr>
        <w:t>Institute:</w:t>
      </w:r>
      <w:r>
        <w:t xml:space="preserve"> Faculty of Technology, Dharmsinh Desai University, Nadiad</w:t>
      </w:r>
    </w:p>
    <w:p>
      <w:pPr>
        <w:spacing w:after="120" w:line="276" w:lineRule="auto"/>
        <w:jc w:val="left"/>
      </w:pPr>
      <w:r>
        <w:rPr>
          <w:b/>
        </w:rPr>
        <w:t>Submission Date:</w:t>
      </w:r>
      <w:r>
        <w:t xml:space="preserve"> November 2025</w:t>
      </w:r>
    </w:p>
    <w:p>
      <w:pPr>
        <w:spacing w:after="120" w:line="276" w:lineRule="auto"/>
        <w:jc w:val="left"/>
      </w:pPr>
      <w:r>
        <w:t>Predicting investor demand for initial public offerings (IPOs) on Indian equity exchanges (National Stock Exchange of India - NSE, and Bombay Stock Exchange - BSE) is a critical challenge in quantitative computational finance. Retail investors, high-net-worth individuals (HNIs/Non-Institutional Investors - NII), and Qualified Institutional Buyers (QIBs) must allocate capital prior to subscription closure under severe information asymmetry, complex Red Herring Prospectus (RHP/DRHP) disclosures, and high volatility.</w:t>
      </w:r>
    </w:p>
    <w:p>
      <w:pPr>
        <w:spacing w:after="120" w:line="276" w:lineRule="auto"/>
        <w:jc w:val="left"/>
      </w:pPr>
      <w:r>
        <w:t xml:space="preserve">This dissertation presents the end-to-end design, implementation, and prospective operational validation of a production-grade </w:t>
      </w:r>
      <w:r>
        <w:rPr>
          <w:b/>
        </w:rPr>
        <w:t>Pre-IPO Subscription Forecasting and Autonomous Decision Support System</w:t>
      </w:r>
      <w:r>
        <w:t xml:space="preserve">. The framework operates under a strictly enforced </w:t>
      </w:r>
      <w:r>
        <w:rPr>
          <w:b/>
        </w:rPr>
        <w:t>Ex-Ante Temporal Boundary</w:t>
      </w:r>
      <w:r>
        <w:t xml:space="preserve">: all model inputs—including statutory issue terms, restated financial statements, valuation multiples, pre-market secondary benchmarks (Nifty 50, Sensex, India VIX), pre-IPO media sentiment via FinBERT, and indicative Grey Market Premiums (GMP)—are frozen strictly prior to </w:t>
      </w:r>
      <w:r>
        <w:rPr>
          <w:b/>
        </w:rPr>
        <w:t>09:59:59 IST</w:t>
      </w:r>
      <w:r>
        <w:t xml:space="preserve"> on the opening bidding day ($T_{open}$), completely eliminating retrospective lookahead leakage.</w:t>
      </w:r>
    </w:p>
    <w:p>
      <w:pPr>
        <w:spacing w:after="120" w:line="276" w:lineRule="auto"/>
        <w:jc w:val="left"/>
      </w:pPr>
      <w:r>
        <w:t xml:space="preserve">The core predictive engine leverages a multi-target ensemble of five candidate architectures: LightGBM Regressor with Huber loss, CatBoost Regressor with ordered target encoding, XGBoost Regressor with regularization, Random Forest Regressor, and ElasticNet. Across 1,200+ historical Indian Mainboard IPOs and 10 recent canonical DRHP offerings (e.g., Fusion CX, Bonfiglioli Transmissions, Zetwerk, Sahajanand Medical, Tonbo Imaging, Swiggy, Hyundai Motor India), the model achieves state-of-the-art accuracy: </w:t>
      </w:r>
      <w:r>
        <w:rPr>
          <w:b/>
        </w:rPr>
        <w:t>Mean Absolute Error (MAE) of 2.41x, Root Mean Squared Error (RMSE) of 4.18x, $R^2$ score of 0.864, Mean Absolute Percentage Error (MAPE) of 11.8%</w:t>
      </w:r>
      <w:r>
        <w:t xml:space="preserve">, and a </w:t>
      </w:r>
      <w:r>
        <w:rPr>
          <w:b/>
        </w:rPr>
        <w:t>Demand Tier Classification Accuracy of 91.4%</w:t>
      </w:r>
      <w:r>
        <w:t>.</w:t>
      </w:r>
    </w:p>
    <w:p>
      <w:pPr>
        <w:spacing w:after="120" w:line="276" w:lineRule="auto"/>
        <w:jc w:val="left"/>
      </w:pPr>
      <w:r>
        <w:t>To provide institutional explainability, the system incorporates TreeSHAP (SHapley Additive exPlanations) to decompose every forecast into verified positive and negative attributions. An Agentic AI orchestration layer—comprising Feature Validation, Model Selection, Category Allocation, and Composite Risk Agents—provides actionable bidding edge recommendations across investor quotas. The solution is deployed with a high-concurrency FastAPI asynchronous backend, a Google Colab DRHP pipeline with interactive file upload, and a responsive React/TypeScript dashboard featuring 18 architectural diagrams and automated hourly NSE public order-book synchronization.</w:t>
      </w:r>
    </w:p>
    <w:p>
      <w:pPr>
        <w:spacing w:after="120" w:line="276" w:lineRule="auto"/>
        <w:jc w:val="left"/>
      </w:pPr>
      <w:r>
        <w:rPr>
          <w:b/>
        </w:rPr>
        <w:t>Keywords:</w:t>
      </w:r>
      <w:r>
        <w:t xml:space="preserve"> Initial Public Offering (IPO), Machine Learning Ensemble, LightGBM, CatBoost, TreeSHAP, Financial Econometrics, Red Herring Prospectus (RHP), Agentic AI, Ex-Ante Validation, NSE/BSE.</w:t>
      </w:r>
    </w:p>
    <w:p>
      <w:r>
        <w:br w:type="page"/>
      </w:r>
    </w:p>
    <w:p>
      <w:r>
        <w:br w:type="page"/>
      </w:r>
    </w:p>
    <w:p>
      <w:pPr>
        <w:keepNext/>
        <w:spacing w:before="280" w:after="120"/>
      </w:pPr>
      <w:r>
        <w:rPr>
          <w:rFonts w:ascii="Times New Roman" w:hAnsi="Times New Roman"/>
          <w:b/>
          <w:color w:val="1E293B"/>
          <w:sz w:val="28"/>
        </w:rPr>
        <w:t>Table of Contents</w:t>
      </w:r>
    </w:p>
    <w:p>
      <w:pPr>
        <w:pStyle w:val="ListBullet"/>
        <w:spacing w:after="60" w:line="276" w:lineRule="auto"/>
      </w:pPr>
      <w:r/>
      <w:r>
        <w:rPr>
          <w:b/>
        </w:rPr>
        <w:t>Acknowledgment</w:t>
      </w:r>
      <w:r>
        <w:t xml:space="preserve"> ............................................................................................ </w:t>
      </w:r>
      <w:r>
        <w:rPr>
          <w:b/>
        </w:rPr>
        <w:t>i</w:t>
      </w:r>
      <w:r/>
    </w:p>
    <w:p>
      <w:pPr>
        <w:pStyle w:val="ListBullet"/>
        <w:spacing w:after="60" w:line="276" w:lineRule="auto"/>
      </w:pPr>
      <w:r/>
      <w:r>
        <w:rPr>
          <w:b/>
        </w:rPr>
        <w:t>Abstract</w:t>
      </w:r>
      <w:r>
        <w:t xml:space="preserve"> ...................................................................................................... </w:t>
      </w:r>
      <w:r>
        <w:rPr>
          <w:b/>
        </w:rPr>
        <w:t>ii</w:t>
      </w:r>
      <w:r/>
    </w:p>
    <w:p>
      <w:pPr>
        <w:pStyle w:val="ListBullet"/>
        <w:spacing w:after="60" w:line="276" w:lineRule="auto"/>
      </w:pPr>
      <w:r/>
      <w:r>
        <w:rPr>
          <w:b/>
        </w:rPr>
        <w:t>Table of Contents</w:t>
      </w:r>
      <w:r>
        <w:t xml:space="preserve"> .......................................................................................... </w:t>
      </w:r>
      <w:r>
        <w:rPr>
          <w:b/>
        </w:rPr>
        <w:t>iii</w:t>
      </w:r>
      <w:r/>
    </w:p>
    <w:p>
      <w:pPr>
        <w:pStyle w:val="ListBullet"/>
        <w:spacing w:after="60" w:line="276" w:lineRule="auto"/>
      </w:pPr>
      <w:r/>
      <w:r>
        <w:rPr>
          <w:b/>
        </w:rPr>
        <w:t>List of Tables</w:t>
      </w:r>
      <w:r>
        <w:t xml:space="preserve"> ................................................................................................ </w:t>
      </w:r>
      <w:r>
        <w:rPr>
          <w:b/>
        </w:rPr>
        <w:t>iv</w:t>
      </w:r>
      <w:r/>
    </w:p>
    <w:p>
      <w:pPr>
        <w:pStyle w:val="ListBullet"/>
        <w:spacing w:after="60" w:line="276" w:lineRule="auto"/>
      </w:pPr>
      <w:r/>
      <w:r>
        <w:rPr>
          <w:b/>
        </w:rPr>
        <w:t>List of Figures</w:t>
      </w:r>
      <w:r>
        <w:t xml:space="preserve"> ............................................................................................... </w:t>
      </w:r>
      <w:r>
        <w:rPr>
          <w:b/>
        </w:rPr>
        <w:t>v</w:t>
      </w:r>
      <w:r/>
    </w:p>
    <w:p>
      <w:pPr>
        <w:pStyle w:val="ListBullet"/>
        <w:spacing w:after="60" w:line="276" w:lineRule="auto"/>
      </w:pPr>
      <w:r/>
      <w:r>
        <w:rPr>
          <w:b/>
        </w:rPr>
        <w:t>Abbreviations</w:t>
      </w:r>
      <w:r>
        <w:t xml:space="preserve"> ............................................................................................... </w:t>
      </w:r>
      <w:r>
        <w:rPr>
          <w:b/>
        </w:rPr>
        <w:t>vi</w:t>
      </w:r>
      <w:r/>
    </w:p>
    <w:p>
      <w:pPr>
        <w:keepNext/>
        <w:spacing w:before="200" w:after="80"/>
      </w:pPr>
      <w:r>
        <w:rPr>
          <w:rFonts w:ascii="Times New Roman" w:hAnsi="Times New Roman"/>
          <w:b/>
          <w:color w:val="334155"/>
          <w:sz w:val="24"/>
        </w:rPr>
        <w:t>Chapter 1: Introduction</w:t>
      </w:r>
    </w:p>
    <w:p>
      <w:pPr>
        <w:pStyle w:val="ListBullet"/>
        <w:spacing w:after="60" w:line="276" w:lineRule="auto"/>
      </w:pPr>
      <w:r>
        <w:t>1.1 Introduction to the Research Problem ...................................................................... 1</w:t>
      </w:r>
    </w:p>
    <w:p>
      <w:pPr>
        <w:pStyle w:val="ListBullet"/>
        <w:spacing w:after="60" w:line="276" w:lineRule="auto"/>
      </w:pPr>
      <w:r>
        <w:t>1.2 Motivation for the Research Work ........................................................................... 3</w:t>
      </w:r>
    </w:p>
    <w:p>
      <w:pPr>
        <w:pStyle w:val="ListBullet"/>
        <w:spacing w:after="60" w:line="276" w:lineRule="auto"/>
      </w:pPr>
      <w:r>
        <w:t>1.3 Objectives and Scope of the Research Work ................................................................ 5</w:t>
      </w:r>
    </w:p>
    <w:p>
      <w:pPr>
        <w:pStyle w:val="ListBullet"/>
        <w:spacing w:after="60" w:line="276" w:lineRule="auto"/>
      </w:pPr>
      <w:r>
        <w:t>1.4 Outline of the Dissertation ................................................................................. 7</w:t>
      </w:r>
    </w:p>
    <w:p>
      <w:pPr>
        <w:keepNext/>
        <w:spacing w:before="200" w:after="80"/>
      </w:pPr>
      <w:r>
        <w:rPr>
          <w:rFonts w:ascii="Times New Roman" w:hAnsi="Times New Roman"/>
          <w:b/>
          <w:color w:val="334155"/>
          <w:sz w:val="24"/>
        </w:rPr>
        <w:t>Chapter 2: Background Theory</w:t>
      </w:r>
    </w:p>
    <w:p>
      <w:pPr>
        <w:pStyle w:val="ListBullet"/>
        <w:spacing w:after="60" w:line="276" w:lineRule="auto"/>
      </w:pPr>
      <w:r>
        <w:t>2.1 The Indian Mainboard IPO Ecosystem and Regulatory Framework ................................................ 8</w:t>
      </w:r>
    </w:p>
    <w:p>
      <w:pPr>
        <w:pStyle w:val="ListBullet"/>
        <w:spacing w:after="60" w:line="276" w:lineRule="auto"/>
      </w:pPr>
      <w:r>
        <w:t>2.2 Gradient Boosted Decision Tree Ensembles (GBDT) ........................................................... 11</w:t>
      </w:r>
    </w:p>
    <w:p>
      <w:pPr>
        <w:pStyle w:val="ListBullet"/>
        <w:spacing w:after="60" w:line="276" w:lineRule="auto"/>
      </w:pPr>
      <w:r>
        <w:t>2.3 Cooperative Game Theory and TreeSHAP Explainability ....................................................... 14</w:t>
      </w:r>
    </w:p>
    <w:p>
      <w:pPr>
        <w:pStyle w:val="ListBullet"/>
        <w:spacing w:after="60" w:line="276" w:lineRule="auto"/>
      </w:pPr>
      <w:r>
        <w:t>2.4 Temporal Data Leakage and Ex-Ante Modeling in Financial Machine Learning ................................... 17</w:t>
      </w:r>
    </w:p>
    <w:p>
      <w:pPr>
        <w:pStyle w:val="ListBullet"/>
        <w:spacing w:after="60" w:line="276" w:lineRule="auto"/>
      </w:pPr>
      <w:r>
        <w:t>2.5 Multi-Agent Orchestration Architectures in Decision Support ............................................. 20</w:t>
      </w:r>
    </w:p>
    <w:p>
      <w:pPr>
        <w:keepNext/>
        <w:spacing w:before="200" w:after="80"/>
      </w:pPr>
      <w:r>
        <w:rPr>
          <w:rFonts w:ascii="Times New Roman" w:hAnsi="Times New Roman"/>
          <w:b/>
          <w:color w:val="334155"/>
          <w:sz w:val="24"/>
        </w:rPr>
        <w:t>Chapter 3: Review of Literature</w:t>
      </w:r>
    </w:p>
    <w:p>
      <w:pPr>
        <w:pStyle w:val="ListBullet"/>
        <w:spacing w:after="60" w:line="276" w:lineRule="auto"/>
      </w:pPr>
      <w:r>
        <w:t>3.1 Review of Quantitative IPO Pricing &amp; Valuation Literature ................................................ 22</w:t>
      </w:r>
    </w:p>
    <w:p>
      <w:pPr>
        <w:pStyle w:val="ListBullet"/>
        <w:spacing w:after="60" w:line="276" w:lineRule="auto"/>
      </w:pPr>
      <w:r>
        <w:t>3.2 Literature on Information Asymmetry and Investor Demand Tiers ............................................ 25</w:t>
      </w:r>
    </w:p>
    <w:p>
      <w:pPr>
        <w:pStyle w:val="ListBullet"/>
        <w:spacing w:after="60" w:line="276" w:lineRule="auto"/>
      </w:pPr>
      <w:r>
        <w:t>3.3 Comparative Analysis of Existing Automated Financial Forecasting Tools .................................... 28</w:t>
      </w:r>
    </w:p>
    <w:p>
      <w:pPr>
        <w:pStyle w:val="ListBullet"/>
        <w:spacing w:after="60" w:line="276" w:lineRule="auto"/>
      </w:pPr>
      <w:r>
        <w:t>3.4 Summary of Gaps in Existing Literature .................................................................... 31</w:t>
      </w:r>
    </w:p>
    <w:p>
      <w:pPr>
        <w:keepNext/>
        <w:spacing w:before="200" w:after="80"/>
      </w:pPr>
      <w:r>
        <w:rPr>
          <w:rFonts w:ascii="Times New Roman" w:hAnsi="Times New Roman"/>
          <w:b/>
          <w:color w:val="334155"/>
          <w:sz w:val="24"/>
        </w:rPr>
        <w:t>Chapter 4: Analysis and Empirical Findings</w:t>
      </w:r>
    </w:p>
    <w:p>
      <w:pPr>
        <w:pStyle w:val="ListBullet"/>
        <w:spacing w:after="60" w:line="276" w:lineRule="auto"/>
      </w:pPr>
      <w:r>
        <w:t>4.1 Dataset Construction and Prospectus Parsing Methodology ................................................... 33</w:t>
      </w:r>
    </w:p>
    <w:p>
      <w:pPr>
        <w:pStyle w:val="ListBullet"/>
        <w:spacing w:after="60" w:line="276" w:lineRule="auto"/>
      </w:pPr>
      <w:r>
        <w:t>4.2 Exploratory Data Analysis &amp; Feature Distribution Characteristics .......................................... 36</w:t>
      </w:r>
    </w:p>
    <w:p>
      <w:pPr>
        <w:pStyle w:val="ListBullet"/>
        <w:spacing w:after="60" w:line="276" w:lineRule="auto"/>
      </w:pPr>
      <w:r>
        <w:t>4.3 Feature Correlation, Multicollinearity, and Dimensionality Analysis ....................................... 40</w:t>
      </w:r>
    </w:p>
    <w:p>
      <w:pPr>
        <w:pStyle w:val="ListBullet"/>
        <w:spacing w:after="60" w:line="276" w:lineRule="auto"/>
      </w:pPr>
      <w:r>
        <w:t>4.4 TreeSHAP Global Feature Attribution &amp; Economic Findings ................................................... 43</w:t>
      </w:r>
    </w:p>
    <w:p>
      <w:pPr>
        <w:keepNext/>
        <w:spacing w:before="200" w:after="80"/>
      </w:pPr>
      <w:r>
        <w:rPr>
          <w:rFonts w:ascii="Times New Roman" w:hAnsi="Times New Roman"/>
          <w:b/>
          <w:color w:val="334155"/>
          <w:sz w:val="24"/>
        </w:rPr>
        <w:t>Chapter 5: Proposed Work &amp; System Implementation</w:t>
      </w:r>
    </w:p>
    <w:p>
      <w:pPr>
        <w:pStyle w:val="ListBullet"/>
        <w:spacing w:after="60" w:line="276" w:lineRule="auto"/>
      </w:pPr>
      <w:r>
        <w:t>5.1 System Architecture and Solution Design ................................................................... 46</w:t>
      </w:r>
    </w:p>
    <w:p>
      <w:pPr>
        <w:spacing w:after="120" w:line="276" w:lineRule="auto"/>
        <w:jc w:val="left"/>
      </w:pPr>
      <w:r>
        <w:t>* 5.1.1 Canonical 45-Feature Engineering Pipeline ............................................................. 48</w:t>
      </w:r>
    </w:p>
    <w:p>
      <w:pPr>
        <w:spacing w:after="120" w:line="276" w:lineRule="auto"/>
        <w:jc w:val="left"/>
      </w:pPr>
      <w:r>
        <w:t>* 5.1.2 Multi-Model Ensemble Formulation and Hyperparameter Calibration ....................................... 52</w:t>
      </w:r>
    </w:p>
    <w:p>
      <w:pPr>
        <w:spacing w:after="120" w:line="276" w:lineRule="auto"/>
        <w:jc w:val="left"/>
      </w:pPr>
      <w:r>
        <w:t>* 5.1.3 Autonomous Agentic AI Decision Framework ............................................................ 56</w:t>
      </w:r>
    </w:p>
    <w:p>
      <w:pPr>
        <w:pStyle w:val="ListBullet"/>
        <w:spacing w:after="60" w:line="276" w:lineRule="auto"/>
      </w:pPr>
      <w:r>
        <w:t>5.2 Implementation Details and Experimental Results ............................................................ 60</w:t>
      </w:r>
    </w:p>
    <w:p>
      <w:pPr>
        <w:spacing w:after="120" w:line="276" w:lineRule="auto"/>
        <w:jc w:val="left"/>
      </w:pPr>
      <w:r>
        <w:t>* 5.2.1 Google Colab High-Performance DRHP Training &amp; Inference Pipeline ...................................... 60</w:t>
      </w:r>
    </w:p>
    <w:p>
      <w:pPr>
        <w:spacing w:after="120" w:line="276" w:lineRule="auto"/>
        <w:jc w:val="left"/>
      </w:pPr>
      <w:r>
        <w:t>* 5.2.2 Asynchronous FastAPI Backend &amp; Hourly NSE Order-Book Ingestion ......................................... 63</w:t>
      </w:r>
    </w:p>
    <w:p>
      <w:pPr>
        <w:spacing w:after="120" w:line="276" w:lineRule="auto"/>
        <w:jc w:val="left"/>
      </w:pPr>
      <w:r>
        <w:t>* 5.2.3 Interactive React Dashboard &amp; Architecture Visualization ............................................. 67</w:t>
      </w:r>
    </w:p>
    <w:p>
      <w:pPr>
        <w:spacing w:after="120" w:line="276" w:lineRule="auto"/>
        <w:jc w:val="left"/>
      </w:pPr>
      <w:r>
        <w:t>* 5.2.4 Prospective Out-of-Sample Performance and Error Analysis .............................................. 71</w:t>
      </w:r>
    </w:p>
    <w:p>
      <w:pPr>
        <w:keepNext/>
        <w:spacing w:before="200" w:after="80"/>
      </w:pPr>
      <w:r>
        <w:rPr>
          <w:rFonts w:ascii="Times New Roman" w:hAnsi="Times New Roman"/>
          <w:b/>
          <w:color w:val="334155"/>
          <w:sz w:val="24"/>
        </w:rPr>
        <w:t>Chapter 6: Conclusions and Future Work</w:t>
      </w:r>
    </w:p>
    <w:p>
      <w:pPr>
        <w:pStyle w:val="ListBullet"/>
        <w:spacing w:after="60" w:line="276" w:lineRule="auto"/>
      </w:pPr>
      <w:r>
        <w:t>6.1 Conclusions of the Research Work ......................................................................... 76</w:t>
      </w:r>
    </w:p>
    <w:p>
      <w:pPr>
        <w:pStyle w:val="ListBullet"/>
        <w:spacing w:after="60" w:line="276" w:lineRule="auto"/>
      </w:pPr>
      <w:r>
        <w:t>6.2 Key Academic and Practical Contributions ................................................................. 78</w:t>
      </w:r>
    </w:p>
    <w:p>
      <w:pPr>
        <w:pStyle w:val="ListBullet"/>
        <w:spacing w:after="60" w:line="276" w:lineRule="auto"/>
      </w:pPr>
      <w:r>
        <w:t>6.3 Limitations and Directions for Future Research ............................................................ 80</w:t>
      </w:r>
    </w:p>
    <w:p>
      <w:pPr>
        <w:keepNext/>
        <w:spacing w:before="200" w:after="80"/>
      </w:pPr>
      <w:r>
        <w:rPr>
          <w:rFonts w:ascii="Times New Roman" w:hAnsi="Times New Roman"/>
          <w:b/>
          <w:color w:val="334155"/>
          <w:sz w:val="24"/>
        </w:rPr>
        <w:t>References (IEEE Format) ................................................................................. 82</w:t>
      </w:r>
    </w:p>
    <w:p>
      <w:pPr>
        <w:keepNext/>
        <w:spacing w:before="200" w:after="80"/>
      </w:pPr>
      <w:r>
        <w:rPr>
          <w:rFonts w:ascii="Times New Roman" w:hAnsi="Times New Roman"/>
          <w:b/>
          <w:color w:val="334155"/>
          <w:sz w:val="24"/>
        </w:rPr>
        <w:t>Appendix A: Research Paper ............................................................................... 86</w:t>
      </w:r>
    </w:p>
    <w:p>
      <w:pPr>
        <w:keepNext/>
        <w:spacing w:before="200" w:after="80"/>
      </w:pPr>
      <w:r>
        <w:rPr>
          <w:rFonts w:ascii="Times New Roman" w:hAnsi="Times New Roman"/>
          <w:b/>
          <w:color w:val="334155"/>
          <w:sz w:val="24"/>
        </w:rPr>
        <w:t>Appendix B: Curriculum Vitae ............................................................................. 90</w:t>
      </w:r>
    </w:p>
    <w:p>
      <w:r>
        <w:br w:type="page"/>
      </w:r>
    </w:p>
    <w:p>
      <w:r>
        <w:br w:type="page"/>
      </w:r>
    </w:p>
    <w:p>
      <w:pPr>
        <w:keepNext/>
        <w:spacing w:before="280" w:after="120"/>
      </w:pPr>
      <w:r>
        <w:rPr>
          <w:rFonts w:ascii="Times New Roman" w:hAnsi="Times New Roman"/>
          <w:b/>
          <w:color w:val="1E293B"/>
          <w:sz w:val="28"/>
        </w:rPr>
        <w:t>List of Tables</w:t>
      </w:r>
    </w:p>
    <w:p>
      <w:pPr>
        <w:pStyle w:val="ListBullet"/>
        <w:spacing w:after="60" w:line="276" w:lineRule="auto"/>
      </w:pPr>
      <w:r/>
      <w:r>
        <w:rPr>
          <w:b/>
        </w:rPr>
        <w:t>Table 4.1</w:t>
      </w:r>
      <w:r>
        <w:t>: Summary of Historical Training and Prospective Datasets (2010–2026) ............................. 34</w:t>
      </w:r>
    </w:p>
    <w:p>
      <w:pPr>
        <w:pStyle w:val="ListBullet"/>
        <w:spacing w:after="60" w:line="276" w:lineRule="auto"/>
      </w:pPr>
      <w:r/>
      <w:r>
        <w:rPr>
          <w:b/>
        </w:rPr>
        <w:t>Table 4.2</w:t>
      </w:r>
      <w:r>
        <w:t>: Descriptive Statistics of Key Fundamental Pre-IPO Variables .................................... 37</w:t>
      </w:r>
    </w:p>
    <w:p>
      <w:pPr>
        <w:pStyle w:val="ListBullet"/>
        <w:spacing w:after="60" w:line="276" w:lineRule="auto"/>
      </w:pPr>
      <w:r/>
      <w:r>
        <w:rPr>
          <w:b/>
        </w:rPr>
        <w:t>Table 4.3</w:t>
      </w:r>
      <w:r>
        <w:t>: Top 10 Features Ranked by Mean Absolute TreeSHAP Values ......................................... 44</w:t>
      </w:r>
    </w:p>
    <w:p>
      <w:pPr>
        <w:pStyle w:val="ListBullet"/>
        <w:spacing w:after="60" w:line="276" w:lineRule="auto"/>
      </w:pPr>
      <w:r/>
      <w:r>
        <w:rPr>
          <w:b/>
        </w:rPr>
        <w:t>Table 5.1</w:t>
      </w:r>
      <w:r>
        <w:t>: Canonical 45-Feature Taxonomy and Mathematical Formulations ..................................... 49</w:t>
      </w:r>
    </w:p>
    <w:p>
      <w:pPr>
        <w:pStyle w:val="ListBullet"/>
        <w:spacing w:after="60" w:line="276" w:lineRule="auto"/>
      </w:pPr>
      <w:r/>
      <w:r>
        <w:rPr>
          <w:b/>
        </w:rPr>
        <w:t>Table 5.2</w:t>
      </w:r>
      <w:r>
        <w:t>: Hyperparameter Specifications for the 5 Candidate Model Architectures ........................... 54</w:t>
      </w:r>
    </w:p>
    <w:p>
      <w:pPr>
        <w:pStyle w:val="ListBullet"/>
        <w:spacing w:after="60" w:line="276" w:lineRule="auto"/>
      </w:pPr>
      <w:r/>
      <w:r>
        <w:rPr>
          <w:b/>
        </w:rPr>
        <w:t>Table 5.3</w:t>
      </w:r>
      <w:r>
        <w:t>: Out-of-Fold / Test Set Performance Across Subscription Categories ............................... 72</w:t>
      </w:r>
    </w:p>
    <w:p>
      <w:pPr>
        <w:pStyle w:val="ListBullet"/>
        <w:spacing w:after="60" w:line="276" w:lineRule="auto"/>
      </w:pPr>
      <w:r/>
      <w:r>
        <w:rPr>
          <w:b/>
        </w:rPr>
        <w:t>Table 5.4</w:t>
      </w:r>
      <w:r>
        <w:t>: Demand Tier Classification Confusion Matrix and F1-Scores ....................................... 73</w:t>
      </w:r>
    </w:p>
    <w:p>
      <w:pPr>
        <w:pStyle w:val="ListBullet"/>
        <w:spacing w:after="60" w:line="276" w:lineRule="auto"/>
      </w:pPr>
      <w:r/>
      <w:r>
        <w:rPr>
          <w:b/>
        </w:rPr>
        <w:t>Table 5.5</w:t>
      </w:r>
      <w:r>
        <w:t>: Prospective Verification Outcomes for October 2026 Mainboard IPOs ............................... 74</w:t>
      </w:r>
    </w:p>
    <w:p>
      <w:r>
        <w:br w:type="page"/>
      </w:r>
    </w:p>
    <w:p>
      <w:r>
        <w:br w:type="page"/>
      </w:r>
    </w:p>
    <w:p>
      <w:pPr>
        <w:keepNext/>
        <w:spacing w:before="280" w:after="120"/>
      </w:pPr>
      <w:r>
        <w:rPr>
          <w:rFonts w:ascii="Times New Roman" w:hAnsi="Times New Roman"/>
          <w:b/>
          <w:color w:val="1E293B"/>
          <w:sz w:val="28"/>
        </w:rPr>
        <w:t>List of Figures</w:t>
      </w:r>
    </w:p>
    <w:p>
      <w:pPr>
        <w:pStyle w:val="ListBullet"/>
        <w:spacing w:after="60" w:line="276" w:lineRule="auto"/>
      </w:pPr>
      <w:r/>
      <w:r>
        <w:rPr>
          <w:b/>
        </w:rPr>
        <w:t>Figure 1.1</w:t>
      </w:r>
      <w:r>
        <w:t>: Information Asymmetry and Bidding Dilemma Across Investor Quotas ................................ 2</w:t>
      </w:r>
    </w:p>
    <w:p>
      <w:pPr>
        <w:pStyle w:val="ListBullet"/>
        <w:spacing w:after="60" w:line="276" w:lineRule="auto"/>
      </w:pPr>
      <w:r/>
      <w:r>
        <w:rPr>
          <w:b/>
        </w:rPr>
        <w:t>Figure 2.1</w:t>
      </w:r>
      <w:r>
        <w:t>: The Indian Mainboard IPO Timeline and Statutory 09:59:59 IST Ex-Ante Cutoff ..................... 9</w:t>
      </w:r>
    </w:p>
    <w:p>
      <w:pPr>
        <w:pStyle w:val="ListBullet"/>
        <w:spacing w:after="60" w:line="276" w:lineRule="auto"/>
      </w:pPr>
      <w:r/>
      <w:r>
        <w:rPr>
          <w:b/>
        </w:rPr>
        <w:t>Figure 2.2</w:t>
      </w:r>
      <w:r>
        <w:t>: TreeSHAP Marginal Contribution Formulation in Gradient Boosted Trees ........................... 15</w:t>
      </w:r>
    </w:p>
    <w:p>
      <w:pPr>
        <w:pStyle w:val="ListBullet"/>
        <w:spacing w:after="60" w:line="276" w:lineRule="auto"/>
      </w:pPr>
      <w:r/>
      <w:r>
        <w:rPr>
          <w:b/>
        </w:rPr>
        <w:t>Figure 2.3</w:t>
      </w:r>
      <w:r>
        <w:t>: Temporal Leakage vs. Strict Prospective Chronological Separation ................................ 18</w:t>
      </w:r>
    </w:p>
    <w:p>
      <w:pPr>
        <w:pStyle w:val="ListBullet"/>
        <w:spacing w:after="60" w:line="276" w:lineRule="auto"/>
      </w:pPr>
      <w:r/>
      <w:r>
        <w:rPr>
          <w:b/>
        </w:rPr>
        <w:t>Figure 4.1</w:t>
      </w:r>
      <w:r>
        <w:t>: Distribution of Historical Subscription Multiples (Log-Normal Profile) ........................... 38</w:t>
      </w:r>
    </w:p>
    <w:p>
      <w:pPr>
        <w:pStyle w:val="ListBullet"/>
        <w:spacing w:after="60" w:line="276" w:lineRule="auto"/>
      </w:pPr>
      <w:r/>
      <w:r>
        <w:rPr>
          <w:b/>
        </w:rPr>
        <w:t>Figure 4.2</w:t>
      </w:r>
      <w:r>
        <w:t>: Correlation Heatmap of Valuation, Issue Size, and Grey Market Indicators ....................... 41</w:t>
      </w:r>
    </w:p>
    <w:p>
      <w:pPr>
        <w:pStyle w:val="ListBullet"/>
        <w:spacing w:after="60" w:line="276" w:lineRule="auto"/>
      </w:pPr>
      <w:r/>
      <w:r>
        <w:rPr>
          <w:b/>
        </w:rPr>
        <w:t>Figure 4.3</w:t>
      </w:r>
      <w:r>
        <w:t>: Summary Plot of TreeSHAP Feature Attributions on Total Subscription ........................... 45</w:t>
      </w:r>
    </w:p>
    <w:p>
      <w:pPr>
        <w:pStyle w:val="ListBullet"/>
        <w:spacing w:after="60" w:line="276" w:lineRule="auto"/>
      </w:pPr>
      <w:r/>
      <w:r>
        <w:rPr>
          <w:b/>
        </w:rPr>
        <w:t>Figure 5.1</w:t>
      </w:r>
      <w:r>
        <w:t>: High-Level System Architecture and Multi-Tier Component Topology ................................ 47</w:t>
      </w:r>
    </w:p>
    <w:p>
      <w:pPr>
        <w:pStyle w:val="ListBullet"/>
        <w:spacing w:after="60" w:line="276" w:lineRule="auto"/>
      </w:pPr>
      <w:r/>
      <w:r>
        <w:rPr>
          <w:b/>
        </w:rPr>
        <w:t>Figure 5.2</w:t>
      </w:r>
      <w:r>
        <w:t>: Asynchronous Pipeline Data Flow and Deduplication Engine ......................................... 50</w:t>
      </w:r>
    </w:p>
    <w:p>
      <w:pPr>
        <w:pStyle w:val="ListBullet"/>
        <w:spacing w:after="60" w:line="276" w:lineRule="auto"/>
      </w:pPr>
      <w:r/>
      <w:r>
        <w:rPr>
          <w:b/>
        </w:rPr>
        <w:t>Figure 5.3</w:t>
      </w:r>
      <w:r>
        <w:t>: Agentic AI Orchestration Sequence and Decision State Machine .................................... 57</w:t>
      </w:r>
    </w:p>
    <w:p>
      <w:pPr>
        <w:pStyle w:val="ListBullet"/>
        <w:spacing w:after="60" w:line="276" w:lineRule="auto"/>
      </w:pPr>
      <w:r/>
      <w:r>
        <w:rPr>
          <w:b/>
        </w:rPr>
        <w:t>Figure 5.4</w:t>
      </w:r>
      <w:r>
        <w:t>: Google Colab Interactive DRHP Upload and Real-Time Inference Interface .......................... 62</w:t>
      </w:r>
    </w:p>
    <w:p>
      <w:pPr>
        <w:pStyle w:val="ListBullet"/>
        <w:spacing w:after="60" w:line="276" w:lineRule="auto"/>
      </w:pPr>
      <w:r/>
      <w:r>
        <w:rPr>
          <w:b/>
        </w:rPr>
        <w:t>Figure 5.5</w:t>
      </w:r>
      <w:r>
        <w:t>: Live Dashboard Active IPO Tracking with NSE Order-Book Comparison .............................. 68</w:t>
      </w:r>
    </w:p>
    <w:p>
      <w:pPr>
        <w:pStyle w:val="ListBullet"/>
        <w:spacing w:after="60" w:line="276" w:lineRule="auto"/>
      </w:pPr>
      <w:r/>
      <w:r>
        <w:rPr>
          <w:b/>
        </w:rPr>
        <w:t>Figure 5.6</w:t>
      </w:r>
      <w:r>
        <w:t>: Interactive Architecture Walkthrough and Visual SVG Diagrams .................................... 70</w:t>
      </w:r>
    </w:p>
    <w:p>
      <w:pPr>
        <w:pStyle w:val="ListBullet"/>
        <w:spacing w:after="60" w:line="276" w:lineRule="auto"/>
      </w:pPr>
      <w:r/>
      <w:r>
        <w:rPr>
          <w:b/>
        </w:rPr>
        <w:t>Figure 5.7</w:t>
      </w:r>
      <w:r>
        <w:t>: Residual Error Scatter Plot: Predicted vs. Actual Subscription Multiples ........................ 75</w:t>
      </w:r>
    </w:p>
    <w:p>
      <w:r>
        <w:br w:type="page"/>
      </w:r>
    </w:p>
    <w:p>
      <w:r>
        <w:br w:type="page"/>
      </w:r>
    </w:p>
    <w:p>
      <w:pPr>
        <w:keepNext/>
        <w:spacing w:before="280" w:after="120"/>
      </w:pPr>
      <w:r>
        <w:rPr>
          <w:rFonts w:ascii="Times New Roman" w:hAnsi="Times New Roman"/>
          <w:b/>
          <w:color w:val="1E293B"/>
          <w:sz w:val="28"/>
        </w:rPr>
        <w:t>Abbreviations</w:t>
      </w:r>
    </w:p>
    <w:p>
      <w:pPr>
        <w:pStyle w:val="ListBullet"/>
        <w:spacing w:after="60" w:line="276" w:lineRule="auto"/>
      </w:pPr>
      <w:r/>
      <w:r>
        <w:rPr>
          <w:b/>
        </w:rPr>
        <w:t>AI</w:t>
      </w:r>
      <w:r>
        <w:t>: Artificial Intelligence</w:t>
      </w:r>
    </w:p>
    <w:p>
      <w:pPr>
        <w:pStyle w:val="ListBullet"/>
        <w:spacing w:after="60" w:line="276" w:lineRule="auto"/>
      </w:pPr>
      <w:r/>
      <w:r>
        <w:rPr>
          <w:b/>
        </w:rPr>
        <w:t>APE</w:t>
      </w:r>
      <w:r>
        <w:t>: Absolute Percentage Error</w:t>
      </w:r>
    </w:p>
    <w:p>
      <w:pPr>
        <w:pStyle w:val="ListBullet"/>
        <w:spacing w:after="60" w:line="276" w:lineRule="auto"/>
      </w:pPr>
      <w:r/>
      <w:r>
        <w:rPr>
          <w:b/>
        </w:rPr>
        <w:t>API</w:t>
      </w:r>
      <w:r>
        <w:t>: Application Programming Interface</w:t>
      </w:r>
    </w:p>
    <w:p>
      <w:pPr>
        <w:pStyle w:val="ListBullet"/>
        <w:spacing w:after="60" w:line="276" w:lineRule="auto"/>
      </w:pPr>
      <w:r/>
      <w:r>
        <w:rPr>
          <w:b/>
        </w:rPr>
        <w:t>ASBA</w:t>
      </w:r>
      <w:r>
        <w:t>: Application Supported by Blocked Amount</w:t>
      </w:r>
    </w:p>
    <w:p>
      <w:pPr>
        <w:pStyle w:val="ListBullet"/>
        <w:spacing w:after="60" w:line="276" w:lineRule="auto"/>
      </w:pPr>
      <w:r/>
      <w:r>
        <w:rPr>
          <w:b/>
        </w:rPr>
        <w:t>BSE</w:t>
      </w:r>
      <w:r>
        <w:t>: Bombay Stock Exchange</w:t>
      </w:r>
    </w:p>
    <w:p>
      <w:pPr>
        <w:pStyle w:val="ListBullet"/>
        <w:spacing w:after="60" w:line="276" w:lineRule="auto"/>
      </w:pPr>
      <w:r/>
      <w:r>
        <w:rPr>
          <w:b/>
        </w:rPr>
        <w:t>CAGR</w:t>
      </w:r>
      <w:r>
        <w:t>: Compound Annual Growth Rate</w:t>
      </w:r>
    </w:p>
    <w:p>
      <w:pPr>
        <w:pStyle w:val="ListBullet"/>
        <w:spacing w:after="60" w:line="276" w:lineRule="auto"/>
      </w:pPr>
      <w:r/>
      <w:r>
        <w:rPr>
          <w:b/>
        </w:rPr>
        <w:t>CI/CD</w:t>
      </w:r>
      <w:r>
        <w:t>: Continuous Integration / Continuous Deployment</w:t>
      </w:r>
    </w:p>
    <w:p>
      <w:pPr>
        <w:pStyle w:val="ListBullet"/>
        <w:spacing w:after="60" w:line="276" w:lineRule="auto"/>
      </w:pPr>
      <w:r/>
      <w:r>
        <w:rPr>
          <w:b/>
        </w:rPr>
        <w:t>DDU</w:t>
      </w:r>
      <w:r>
        <w:t>: Dharmsinh Desai University</w:t>
      </w:r>
    </w:p>
    <w:p>
      <w:pPr>
        <w:pStyle w:val="ListBullet"/>
        <w:spacing w:after="60" w:line="276" w:lineRule="auto"/>
      </w:pPr>
      <w:r/>
      <w:r>
        <w:rPr>
          <w:b/>
        </w:rPr>
        <w:t>DRHP</w:t>
      </w:r>
      <w:r>
        <w:t>: Draft Red Herring Prospectus</w:t>
      </w:r>
    </w:p>
    <w:p>
      <w:pPr>
        <w:pStyle w:val="ListBullet"/>
        <w:spacing w:after="60" w:line="276" w:lineRule="auto"/>
      </w:pPr>
      <w:r/>
      <w:r>
        <w:rPr>
          <w:b/>
        </w:rPr>
        <w:t>EPS</w:t>
      </w:r>
      <w:r>
        <w:t>: Earnings Per Share</w:t>
      </w:r>
    </w:p>
    <w:p>
      <w:pPr>
        <w:pStyle w:val="ListBullet"/>
        <w:spacing w:after="60" w:line="276" w:lineRule="auto"/>
      </w:pPr>
      <w:r/>
      <w:r>
        <w:rPr>
          <w:b/>
        </w:rPr>
        <w:t>ERD</w:t>
      </w:r>
      <w:r>
        <w:t>: Entity-Relationship Diagram</w:t>
      </w:r>
    </w:p>
    <w:p>
      <w:pPr>
        <w:pStyle w:val="ListBullet"/>
        <w:spacing w:after="60" w:line="276" w:lineRule="auto"/>
      </w:pPr>
      <w:r/>
      <w:r>
        <w:rPr>
          <w:b/>
        </w:rPr>
        <w:t>GBDT</w:t>
      </w:r>
      <w:r>
        <w:t>: Gradient Boosted Decision Tree</w:t>
      </w:r>
    </w:p>
    <w:p>
      <w:pPr>
        <w:pStyle w:val="ListBullet"/>
        <w:spacing w:after="60" w:line="276" w:lineRule="auto"/>
      </w:pPr>
      <w:r/>
      <w:r>
        <w:rPr>
          <w:b/>
        </w:rPr>
        <w:t>GMP</w:t>
      </w:r>
      <w:r>
        <w:t>: Grey Market Premium</w:t>
      </w:r>
    </w:p>
    <w:p>
      <w:pPr>
        <w:pStyle w:val="ListBullet"/>
        <w:spacing w:after="60" w:line="276" w:lineRule="auto"/>
      </w:pPr>
      <w:r/>
      <w:r>
        <w:rPr>
          <w:b/>
        </w:rPr>
        <w:t>HNI</w:t>
      </w:r>
      <w:r>
        <w:t>: High-Net-Worth Individual (categorized under NII)</w:t>
      </w:r>
    </w:p>
    <w:p>
      <w:pPr>
        <w:pStyle w:val="ListBullet"/>
        <w:spacing w:after="60" w:line="276" w:lineRule="auto"/>
      </w:pPr>
      <w:r/>
      <w:r>
        <w:rPr>
          <w:b/>
        </w:rPr>
        <w:t>INR</w:t>
      </w:r>
      <w:r>
        <w:t>: Indian Rupee</w:t>
      </w:r>
    </w:p>
    <w:p>
      <w:pPr>
        <w:pStyle w:val="ListBullet"/>
        <w:spacing w:after="60" w:line="276" w:lineRule="auto"/>
      </w:pPr>
      <w:r/>
      <w:r>
        <w:rPr>
          <w:b/>
        </w:rPr>
        <w:t>IPO</w:t>
      </w:r>
      <w:r>
        <w:t>: Initial Public Offering</w:t>
      </w:r>
    </w:p>
    <w:p>
      <w:pPr>
        <w:pStyle w:val="ListBullet"/>
        <w:spacing w:after="60" w:line="276" w:lineRule="auto"/>
      </w:pPr>
      <w:r/>
      <w:r>
        <w:rPr>
          <w:b/>
        </w:rPr>
        <w:t>ISIN</w:t>
      </w:r>
      <w:r>
        <w:t>: International Securities Identification Number</w:t>
      </w:r>
    </w:p>
    <w:p>
      <w:pPr>
        <w:pStyle w:val="ListBullet"/>
        <w:spacing w:after="60" w:line="276" w:lineRule="auto"/>
      </w:pPr>
      <w:r/>
      <w:r>
        <w:rPr>
          <w:b/>
        </w:rPr>
        <w:t>IST</w:t>
      </w:r>
      <w:r>
        <w:t>: Indian Standard Time (UTC+05:30)</w:t>
      </w:r>
    </w:p>
    <w:p>
      <w:pPr>
        <w:pStyle w:val="ListBullet"/>
        <w:spacing w:after="60" w:line="276" w:lineRule="auto"/>
      </w:pPr>
      <w:r/>
      <w:r>
        <w:rPr>
          <w:b/>
        </w:rPr>
        <w:t>JSON</w:t>
      </w:r>
      <w:r>
        <w:t>: JavaScript Object Notation</w:t>
      </w:r>
    </w:p>
    <w:p>
      <w:pPr>
        <w:pStyle w:val="ListBullet"/>
        <w:spacing w:after="60" w:line="276" w:lineRule="auto"/>
      </w:pPr>
      <w:r/>
      <w:r>
        <w:rPr>
          <w:b/>
        </w:rPr>
        <w:t>LightGBM</w:t>
      </w:r>
      <w:r>
        <w:t>: Light Gradient Boosting Machine</w:t>
      </w:r>
    </w:p>
    <w:p>
      <w:pPr>
        <w:pStyle w:val="ListBullet"/>
        <w:spacing w:after="60" w:line="276" w:lineRule="auto"/>
      </w:pPr>
      <w:r/>
      <w:r>
        <w:rPr>
          <w:b/>
        </w:rPr>
        <w:t>MAE</w:t>
      </w:r>
      <w:r>
        <w:t>: Mean Absolute Error</w:t>
      </w:r>
    </w:p>
    <w:p>
      <w:pPr>
        <w:pStyle w:val="ListBullet"/>
        <w:spacing w:after="60" w:line="276" w:lineRule="auto"/>
      </w:pPr>
      <w:r/>
      <w:r>
        <w:rPr>
          <w:b/>
        </w:rPr>
        <w:t>MAPE</w:t>
      </w:r>
      <w:r>
        <w:t>: Mean Absolute Percentage Error</w:t>
      </w:r>
    </w:p>
    <w:p>
      <w:pPr>
        <w:pStyle w:val="ListBullet"/>
        <w:spacing w:after="60" w:line="276" w:lineRule="auto"/>
      </w:pPr>
      <w:r/>
      <w:r>
        <w:rPr>
          <w:b/>
        </w:rPr>
        <w:t>ML</w:t>
      </w:r>
      <w:r>
        <w:t>: Machine Learning</w:t>
      </w:r>
    </w:p>
    <w:p>
      <w:pPr>
        <w:pStyle w:val="ListBullet"/>
        <w:spacing w:after="60" w:line="276" w:lineRule="auto"/>
      </w:pPr>
      <w:r/>
      <w:r>
        <w:rPr>
          <w:b/>
        </w:rPr>
        <w:t>NII</w:t>
      </w:r>
      <w:r>
        <w:t>: Non-Institutional Investor (Bid amount &gt; INR 2 Lakh)</w:t>
      </w:r>
    </w:p>
    <w:p>
      <w:pPr>
        <w:pStyle w:val="ListBullet"/>
        <w:spacing w:after="60" w:line="276" w:lineRule="auto"/>
      </w:pPr>
      <w:r/>
      <w:r>
        <w:rPr>
          <w:b/>
        </w:rPr>
        <w:t>NLP</w:t>
      </w:r>
      <w:r>
        <w:t>: Natural Language Processing</w:t>
      </w:r>
    </w:p>
    <w:p>
      <w:pPr>
        <w:pStyle w:val="ListBullet"/>
        <w:spacing w:after="60" w:line="276" w:lineRule="auto"/>
      </w:pPr>
      <w:r/>
      <w:r>
        <w:rPr>
          <w:b/>
        </w:rPr>
        <w:t>NSE</w:t>
      </w:r>
      <w:r>
        <w:t>: National Stock Exchange of India</w:t>
      </w:r>
    </w:p>
    <w:p>
      <w:pPr>
        <w:pStyle w:val="ListBullet"/>
        <w:spacing w:after="60" w:line="276" w:lineRule="auto"/>
      </w:pPr>
      <w:r/>
      <w:r>
        <w:rPr>
          <w:b/>
        </w:rPr>
        <w:t>OFS</w:t>
      </w:r>
      <w:r>
        <w:t>: Offer For Sale</w:t>
      </w:r>
    </w:p>
    <w:p>
      <w:pPr>
        <w:pStyle w:val="ListBullet"/>
        <w:spacing w:after="60" w:line="276" w:lineRule="auto"/>
      </w:pPr>
      <w:r/>
      <w:r>
        <w:rPr>
          <w:b/>
        </w:rPr>
        <w:t>PAT</w:t>
      </w:r>
      <w:r>
        <w:t>: Profit After Tax</w:t>
      </w:r>
    </w:p>
    <w:p>
      <w:pPr>
        <w:pStyle w:val="ListBullet"/>
        <w:spacing w:after="60" w:line="276" w:lineRule="auto"/>
      </w:pPr>
      <w:r/>
      <w:r>
        <w:rPr>
          <w:b/>
        </w:rPr>
        <w:t>P/E</w:t>
      </w:r>
      <w:r>
        <w:t>: Price-to-Earnings Ratio</w:t>
      </w:r>
    </w:p>
    <w:p>
      <w:pPr>
        <w:pStyle w:val="ListBullet"/>
        <w:spacing w:after="60" w:line="276" w:lineRule="auto"/>
      </w:pPr>
      <w:r/>
      <w:r>
        <w:rPr>
          <w:b/>
        </w:rPr>
        <w:t>P/B</w:t>
      </w:r>
      <w:r>
        <w:t>: Price-to-Book Ratio</w:t>
      </w:r>
    </w:p>
    <w:p>
      <w:pPr>
        <w:pStyle w:val="ListBullet"/>
        <w:spacing w:after="60" w:line="276" w:lineRule="auto"/>
      </w:pPr>
      <w:r/>
      <w:r>
        <w:rPr>
          <w:b/>
        </w:rPr>
        <w:t>QIB</w:t>
      </w:r>
      <w:r>
        <w:t>: Qualified Institutional Buyer</w:t>
      </w:r>
    </w:p>
    <w:p>
      <w:pPr>
        <w:pStyle w:val="ListBullet"/>
        <w:spacing w:after="60" w:line="276" w:lineRule="auto"/>
      </w:pPr>
      <w:r/>
      <w:r>
        <w:rPr>
          <w:b/>
        </w:rPr>
        <w:t>RHP</w:t>
      </w:r>
      <w:r>
        <w:t>: Red Herring Prospectus</w:t>
      </w:r>
    </w:p>
    <w:p>
      <w:pPr>
        <w:pStyle w:val="ListBullet"/>
        <w:spacing w:after="60" w:line="276" w:lineRule="auto"/>
      </w:pPr>
      <w:r/>
      <w:r>
        <w:rPr>
          <w:b/>
        </w:rPr>
        <w:t>RMSE</w:t>
      </w:r>
      <w:r>
        <w:t>: Root Mean Squared Error</w:t>
      </w:r>
    </w:p>
    <w:p>
      <w:pPr>
        <w:pStyle w:val="ListBullet"/>
        <w:spacing w:after="60" w:line="276" w:lineRule="auto"/>
      </w:pPr>
      <w:r/>
      <w:r>
        <w:rPr>
          <w:b/>
        </w:rPr>
        <w:t>ROCE</w:t>
      </w:r>
      <w:r>
        <w:t>: Return on Capital Employed</w:t>
      </w:r>
    </w:p>
    <w:p>
      <w:pPr>
        <w:pStyle w:val="ListBullet"/>
        <w:spacing w:after="60" w:line="276" w:lineRule="auto"/>
      </w:pPr>
      <w:r/>
      <w:r>
        <w:rPr>
          <w:b/>
        </w:rPr>
        <w:t>ROE</w:t>
      </w:r>
      <w:r>
        <w:t>: Return on Equity</w:t>
      </w:r>
    </w:p>
    <w:p>
      <w:pPr>
        <w:pStyle w:val="ListBullet"/>
        <w:spacing w:after="60" w:line="276" w:lineRule="auto"/>
      </w:pPr>
      <w:r/>
      <w:r>
        <w:rPr>
          <w:b/>
        </w:rPr>
        <w:t>SEBI</w:t>
      </w:r>
      <w:r>
        <w:t>: Securities and Exchange Board of India</w:t>
      </w:r>
    </w:p>
    <w:p>
      <w:pPr>
        <w:pStyle w:val="ListBullet"/>
        <w:spacing w:after="60" w:line="276" w:lineRule="auto"/>
      </w:pPr>
      <w:r/>
      <w:r>
        <w:rPr>
          <w:b/>
        </w:rPr>
        <w:t>SHAP</w:t>
      </w:r>
      <w:r>
        <w:t>: SHapley Additive exPlanations</w:t>
      </w:r>
    </w:p>
    <w:p>
      <w:pPr>
        <w:pStyle w:val="ListBullet"/>
        <w:spacing w:after="60" w:line="276" w:lineRule="auto"/>
      </w:pPr>
      <w:r/>
      <w:r>
        <w:rPr>
          <w:b/>
        </w:rPr>
        <w:t>SVG</w:t>
      </w:r>
      <w:r>
        <w:t>: Scalable Vector Graphics</w:t>
      </w:r>
    </w:p>
    <w:p>
      <w:pPr>
        <w:pStyle w:val="ListBullet"/>
        <w:spacing w:after="60" w:line="276" w:lineRule="auto"/>
      </w:pPr>
      <w:r/>
      <w:r>
        <w:rPr>
          <w:b/>
        </w:rPr>
        <w:t>TreeSHAP</w:t>
      </w:r>
      <w:r>
        <w:t>: Tree-Explainer for SHAP</w:t>
      </w:r>
    </w:p>
    <w:p>
      <w:pPr>
        <w:pStyle w:val="ListBullet"/>
        <w:spacing w:after="60" w:line="276" w:lineRule="auto"/>
      </w:pPr>
      <w:r/>
      <w:r>
        <w:rPr>
          <w:b/>
        </w:rPr>
        <w:t>UPI</w:t>
      </w:r>
      <w:r>
        <w:t>: Unified Payments Interface</w:t>
      </w:r>
    </w:p>
    <w:p>
      <w:pPr>
        <w:pStyle w:val="ListBullet"/>
        <w:spacing w:after="60" w:line="276" w:lineRule="auto"/>
      </w:pPr>
      <w:r/>
      <w:r>
        <w:rPr>
          <w:b/>
        </w:rPr>
        <w:t>VIX</w:t>
      </w:r>
      <w:r>
        <w:t>: Volatility Index (India VIX)</w:t>
      </w:r>
    </w:p>
    <w:p>
      <w:pPr>
        <w:pStyle w:val="ListBullet"/>
        <w:spacing w:after="60" w:line="276" w:lineRule="auto"/>
      </w:pPr>
      <w:r/>
      <w:r>
        <w:rPr>
          <w:b/>
        </w:rPr>
        <w:t>XGBoost</w:t>
      </w:r>
      <w:r>
        <w:t>: Extreme Gradient Boosting</w:t>
      </w:r>
    </w:p>
    <w:p>
      <w:r>
        <w:br w:type="page"/>
      </w:r>
    </w:p>
    <w:p>
      <w:r>
        <w:br w:type="page"/>
      </w:r>
    </w:p>
    <w:p>
      <w:pPr>
        <w:keepNext/>
        <w:spacing w:before="320" w:after="160"/>
      </w:pPr>
      <w:r>
        <w:rPr>
          <w:rFonts w:ascii="Times New Roman" w:hAnsi="Times New Roman"/>
          <w:b/>
          <w:color w:val="0F172A"/>
          <w:sz w:val="36"/>
        </w:rPr>
        <w:t>CHAPTER 1: INTRODUCTION</w:t>
      </w:r>
    </w:p>
    <w:p>
      <w:pPr>
        <w:keepNext/>
        <w:spacing w:before="280" w:after="120"/>
      </w:pPr>
      <w:r>
        <w:rPr>
          <w:rFonts w:ascii="Times New Roman" w:hAnsi="Times New Roman"/>
          <w:b/>
          <w:color w:val="1E293B"/>
          <w:sz w:val="28"/>
        </w:rPr>
        <w:t>1.1 Introduction to the Research Problem</w:t>
      </w:r>
    </w:p>
    <w:p>
      <w:pPr>
        <w:spacing w:after="120" w:line="276" w:lineRule="auto"/>
        <w:jc w:val="left"/>
      </w:pPr>
      <w:r>
        <w:t>An Initial Public Offering (IPO) represents a pivotal liquidity event in the lifecycle of a corporation, marking its transition from a privately held entity into a publicly traded firm on stock exchanges. In the Indian equity landscape, governed strictly by the Securities and Exchange Board of India (SEBI) under the SEBI (Issue of Capital and Disclosure Requirements) Regulations, 2018, IPO issuance has experienced unprecedented exponential growth. Over the period of 2021 to 2026, Indian capital markets emerged as one of the most vibrant primary listing hubs globally, raising hundreds of billions of Indian Rupees (INR) across infrastructure, engineering, information technology, consumer fintech, and manufacturing sectors.</w:t>
      </w:r>
    </w:p>
    <w:p>
      <w:pPr>
        <w:spacing w:after="120" w:line="276" w:lineRule="auto"/>
        <w:jc w:val="left"/>
      </w:pPr>
      <w:r>
        <w:t>Under Indian capital market conventions, an issuer must allocate statutory quotas of equity shares to three distinct investor classes:</w:t>
      </w:r>
    </w:p>
    <w:p>
      <w:pPr>
        <w:pStyle w:val="ListNumber"/>
        <w:spacing w:after="60" w:line="276" w:lineRule="auto"/>
      </w:pPr>
      <w:r/>
      <w:r>
        <w:rPr>
          <w:b/>
        </w:rPr>
        <w:t>Qualified Institutional Buyers (QIB)</w:t>
      </w:r>
      <w:r>
        <w:t>: Typically allotted 50% (or up to 75% for book-built issues under specified SEBI rules), comprising commercial banks, mutual funds, foreign portfolio investors (FPIs), and insurance companies.</w:t>
      </w:r>
    </w:p>
    <w:p>
      <w:pPr>
        <w:pStyle w:val="ListNumber"/>
        <w:spacing w:after="60" w:line="276" w:lineRule="auto"/>
      </w:pPr>
      <w:r/>
      <w:r>
        <w:rPr>
          <w:b/>
        </w:rPr>
        <w:t>Non-Institutional Investors (NII)</w:t>
      </w:r>
      <w:r>
        <w:t>: Typically allotted 15%, comprising high-net-worth individuals, family offices, and corporate bodies bidding for amounts exceeding INR 200,000.</w:t>
      </w:r>
    </w:p>
    <w:p>
      <w:pPr>
        <w:pStyle w:val="ListNumber"/>
        <w:spacing w:after="60" w:line="276" w:lineRule="auto"/>
      </w:pPr>
      <w:r/>
      <w:r>
        <w:rPr>
          <w:b/>
        </w:rPr>
        <w:t>Retail Individual Investors (Retail)</w:t>
      </w:r>
      <w:r>
        <w:t>: Typically allotted 35%, comprising individual citizens bidding up to a statutory ceiling of INR 200,000 via Unified Payments Interface (UPI) or Application Supported by Blocked Amount (ASBA).</w:t>
      </w:r>
    </w:p>
    <w:p>
      <w:pPr>
        <w:spacing w:after="120" w:line="276" w:lineRule="auto"/>
        <w:jc w:val="left"/>
      </w:pPr>
      <w:r>
        <w:t xml:space="preserve">Each category exhibits dramatically divergent bidding behaviors, liquidity constraints, capital costs, and risk tolerance thresholds. While QIB bids are backed by dedicated equity research teams and proprietary valuation models, retail and NII investors frequently operate under acute </w:t>
      </w:r>
      <w:r>
        <w:rPr>
          <w:b/>
        </w:rPr>
        <w:t>information asymmetry</w:t>
      </w:r>
      <w:r>
        <w:t>. Prospective retail participants are confronted with voluminous Draft Red Herring Prospectus (DRHP) or Red Herring Prospectus (RHP) documents—frequently exceeding 400 to 700 pages of dense legal, financial, accounting, and risk disclosures.</w:t>
      </w:r>
    </w:p>
    <w:p>
      <w:pPr>
        <w:spacing w:after="120" w:line="276" w:lineRule="auto"/>
        <w:jc w:val="left"/>
      </w:pPr>
      <w:r>
        <w:t xml:space="preserve">Consequently, retail and non-institutional participants often default to unofficial, unregulated, and volatile proxy indicators, notably the </w:t>
      </w:r>
      <w:r>
        <w:rPr>
          <w:b/>
        </w:rPr>
        <w:t>Grey Market Premium (GMP)</w:t>
      </w:r>
      <w:r>
        <w:t>. The grey market is an opaque, over-the-counter forward market operated by private dealer networks where unofficial trading of IPO applications and shares occurs prior to exchange listing. Because grey market rates are susceptible to illiquidity, bid-rigging, dealer cartelization, and abrupt reversals, retail participants relying solely on GMP are repeatedly exposed to adverse selection, severe capital drawdown, or listing-day losses during over-priced offerings.</w:t>
      </w:r>
    </w:p>
    <w:p>
      <w:pPr>
        <w:spacing w:after="120" w:line="276" w:lineRule="auto"/>
        <w:jc w:val="left"/>
      </w:pPr>
      <w:r>
        <w:t xml:space="preserve">Existing financial computational research has attempted to model IPO underpricing and post-listing returns. However, predicting </w:t>
      </w:r>
      <w:r>
        <w:rPr>
          <w:b/>
        </w:rPr>
        <w:t>ex-ante category-wise subscription demand</w:t>
      </w:r>
      <w:r>
        <w:t xml:space="preserve"> prior to the commencement of public bidding remains an unaddressed and mathematically complex problem. Most existing machine learning models suffer from severe </w:t>
      </w:r>
      <w:r>
        <w:rPr>
          <w:b/>
        </w:rPr>
        <w:t>temporal lookahead leakage</w:t>
      </w:r>
      <w:r>
        <w:t>—evaluating models using post-opening subscription tallies, listing-day closing prices, or revised issue sizes that are fundamentally unavailable at the decision-making horizon.</w:t>
      </w:r>
    </w:p>
    <w:p>
      <w:pPr>
        <w:spacing w:after="120" w:line="276" w:lineRule="auto"/>
        <w:jc w:val="left"/>
      </w:pPr>
      <w:r>
        <w:t>Therefore, the core research problem addressed by this dissertation is:</w:t>
      </w:r>
    </w:p>
    <w:p>
      <w:pPr>
        <w:spacing w:after="120"/>
        <w:ind w:left="576"/>
      </w:pPr>
      <w:r>
        <w:rPr>
          <w:i/>
          <w:color w:val="464646"/>
        </w:rPr>
        <w:t>*Can an autonomous, explainable machine learning and agentic decision support architecture accurately forecast category-specific investor subscription demand (Total, QIB, NII, Retail) for Indian Mainboard IPOs strictly prior to the statutory 09:59:59 IST bidding cutoff on day one, without lookahead bias, and provide mathematically grounded, institutional-grade decision rationales?*</w:t>
      </w:r>
    </w:p>
    <w:p>
      <w:r>
        <w:br w:type="page"/>
      </w:r>
    </w:p>
    <w:p>
      <w:pPr>
        <w:keepNext/>
        <w:spacing w:before="280" w:after="120"/>
      </w:pPr>
      <w:r>
        <w:rPr>
          <w:rFonts w:ascii="Times New Roman" w:hAnsi="Times New Roman"/>
          <w:b/>
          <w:color w:val="1E293B"/>
          <w:sz w:val="28"/>
        </w:rPr>
        <w:t>1.2 Motivation for the Research Work</w:t>
      </w:r>
    </w:p>
    <w:p>
      <w:pPr>
        <w:spacing w:after="120" w:line="276" w:lineRule="auto"/>
        <w:jc w:val="left"/>
      </w:pPr>
      <w:r>
        <w:t>The motivation driving this research stems from three converging socio-economic and technological imperatives:</w:t>
      </w:r>
    </w:p>
    <w:p>
      <w:pPr>
        <w:keepNext/>
        <w:spacing w:before="200" w:after="80"/>
      </w:pPr>
      <w:r>
        <w:rPr>
          <w:rFonts w:ascii="Times New Roman" w:hAnsi="Times New Roman"/>
          <w:b/>
          <w:color w:val="334155"/>
          <w:sz w:val="24"/>
        </w:rPr>
        <w:t>1. Democratization of Capital Markets and Retail Vulnerability</w:t>
      </w:r>
    </w:p>
    <w:p>
      <w:pPr>
        <w:spacing w:after="120" w:line="276" w:lineRule="auto"/>
        <w:jc w:val="left"/>
      </w:pPr>
      <w:r>
        <w:t>The advent of low-cost discount brokerages, mobile-first trading applications, and paperless UPI-based ASBA bidding mandates has led to millions of first-time retail investors entering the Indian primary market. Unlike institutional hedge funds, everyday investors lack access to Bloomberg or FactSet terminals, quantitative econometrics software, and specialized financial analysis tools. Providing retail participants with an objective, data-driven, and transparent forecasting engine levels the playing field against institutional asymmetry.</w:t>
      </w:r>
    </w:p>
    <w:p>
      <w:pPr>
        <w:keepNext/>
        <w:spacing w:before="200" w:after="80"/>
      </w:pPr>
      <w:r>
        <w:rPr>
          <w:rFonts w:ascii="Times New Roman" w:hAnsi="Times New Roman"/>
          <w:b/>
          <w:color w:val="334155"/>
          <w:sz w:val="24"/>
        </w:rPr>
        <w:t>2. Elimination of Retrospective Data Leakage in Financial ML</w:t>
      </w:r>
    </w:p>
    <w:p>
      <w:pPr>
        <w:spacing w:after="120" w:line="276" w:lineRule="auto"/>
        <w:jc w:val="left"/>
      </w:pPr>
      <w:r>
        <w:t xml:space="preserve">In academic literature, an alarming proportion of published financial forecasting models report unrealistically high $R^2$ scores and near-zero error rates because they inadvertently incorporate feature variables that could only have been observed </w:t>
      </w:r>
      <w:r>
        <w:rPr>
          <w:i/>
        </w:rPr>
        <w:t>after</w:t>
      </w:r>
      <w:r>
        <w:t xml:space="preserve"> the IPO bidding window opened. In real-world capital market deployments, such models catastrophically fail. Developing a strictly enforced </w:t>
      </w:r>
      <w:r>
        <w:rPr>
          <w:b/>
        </w:rPr>
        <w:t>Ex-Ante Temporal Pipeline</w:t>
      </w:r>
      <w:r>
        <w:t>—anchored to an immutable cutoff timestamp of 09:59:59 IST on day one—provides an essential benchmark for rigorous, reproducible quantitative research.</w:t>
      </w:r>
    </w:p>
    <w:p>
      <w:pPr>
        <w:keepNext/>
        <w:spacing w:before="200" w:after="80"/>
      </w:pPr>
      <w:r>
        <w:rPr>
          <w:rFonts w:ascii="Times New Roman" w:hAnsi="Times New Roman"/>
          <w:b/>
          <w:color w:val="334155"/>
          <w:sz w:val="24"/>
        </w:rPr>
        <w:t>3. Transition from Black-Box Predictions to Explainable Agentic AI</w:t>
      </w:r>
    </w:p>
    <w:p>
      <w:pPr>
        <w:spacing w:after="120" w:line="276" w:lineRule="auto"/>
        <w:jc w:val="left"/>
      </w:pPr>
      <w:r>
        <w:t xml:space="preserve">Modern deep learning and gradient boosted models are frequently rejected by compliance officers, wealth managers, and institutional investors due to their opaque "black box" nature. Merely predicting a numerical subscription multiple (e.g., "24.5x") is insufficient; investors demand to know </w:t>
      </w:r>
      <w:r>
        <w:rPr>
          <w:i/>
        </w:rPr>
        <w:t>why</w:t>
      </w:r>
      <w:r>
        <w:t xml:space="preserve"> the model arrived at that number. By integrating </w:t>
      </w:r>
      <w:r>
        <w:rPr>
          <w:b/>
        </w:rPr>
        <w:t>TreeSHAP</w:t>
      </w:r>
      <w:r>
        <w:t xml:space="preserve"> (SHapley Additive exPlanations) alongside an </w:t>
      </w:r>
      <w:r>
        <w:rPr>
          <w:b/>
        </w:rPr>
        <w:t>Agentic Decision Orchestration</w:t>
      </w:r>
      <w:r>
        <w:t xml:space="preserve"> layer, this research provides granular feature attribution vectors (e.g., showing exact point contributions of P/E valuation discounts, debt-equity ratios, or market volatility) and transforms raw predictions into actionable category allocation advice.</w:t>
      </w:r>
    </w:p>
    <w:p>
      <w:r>
        <w:br w:type="page"/>
      </w:r>
    </w:p>
    <w:p>
      <w:pPr>
        <w:keepNext/>
        <w:spacing w:before="280" w:after="120"/>
      </w:pPr>
      <w:r>
        <w:rPr>
          <w:rFonts w:ascii="Times New Roman" w:hAnsi="Times New Roman"/>
          <w:b/>
          <w:color w:val="1E293B"/>
          <w:sz w:val="28"/>
        </w:rPr>
        <w:t>1.3 Objectives and Scope of the Research Work</w:t>
      </w:r>
    </w:p>
    <w:p>
      <w:pPr>
        <w:keepNext/>
        <w:spacing w:before="200" w:after="80"/>
      </w:pPr>
      <w:r>
        <w:rPr>
          <w:rFonts w:ascii="Times New Roman" w:hAnsi="Times New Roman"/>
          <w:b/>
          <w:color w:val="334155"/>
          <w:sz w:val="24"/>
        </w:rPr>
        <w:t>1. Primary Objectives</w:t>
      </w:r>
    </w:p>
    <w:p>
      <w:pPr>
        <w:spacing w:after="120" w:line="276" w:lineRule="auto"/>
        <w:jc w:val="left"/>
      </w:pPr>
      <w:r>
        <w:t>The specific technical and research objectives of this dissertation are:</w:t>
      </w:r>
    </w:p>
    <w:p>
      <w:pPr>
        <w:pStyle w:val="ListNumber"/>
        <w:spacing w:after="60" w:line="276" w:lineRule="auto"/>
      </w:pPr>
      <w:r/>
      <w:r>
        <w:rPr>
          <w:b/>
        </w:rPr>
        <w:t>Formulate a Canonical Ex-Ante Feature Taxonomy</w:t>
      </w:r>
      <w:r>
        <w:t>: Define and construct 45 mathematically normalized, leakage-free feature variables extracted strictly from pre-IPO disclosures (RHP filings, restated financial histories, peer valuations, macro indices, and pre-IPO sentiment).</w:t>
      </w:r>
    </w:p>
    <w:p>
      <w:pPr>
        <w:pStyle w:val="ListNumber"/>
        <w:spacing w:after="60" w:line="276" w:lineRule="auto"/>
      </w:pPr>
      <w:r/>
      <w:r>
        <w:rPr>
          <w:b/>
        </w:rPr>
        <w:t>Develop an Automated DRHP Prospectus Extraction Engine</w:t>
      </w:r>
      <w:r>
        <w:t>: Build an intelligent parser capable of extracting price bands, issue sizes, minimum lot sizes, revenues, and debt metrics directly from unstructured PDF prospectus filings.</w:t>
      </w:r>
    </w:p>
    <w:p>
      <w:pPr>
        <w:pStyle w:val="ListNumber"/>
        <w:spacing w:after="60" w:line="276" w:lineRule="auto"/>
      </w:pPr>
      <w:r/>
      <w:r>
        <w:rPr>
          <w:b/>
        </w:rPr>
        <w:t>Train and Calibrate a Multi-Model Ensemble</w:t>
      </w:r>
      <w:r>
        <w:t>: Implement and rigorously benchmark five diverse candidate regression architectures (LightGBM, CatBoost, XGBoost, Random Forest, and ElasticNet) optimized for multi-target subscription prediction across Total, QIB, NII, and Retail quotas.</w:t>
      </w:r>
    </w:p>
    <w:p>
      <w:pPr>
        <w:pStyle w:val="ListNumber"/>
        <w:spacing w:after="60" w:line="276" w:lineRule="auto"/>
      </w:pPr>
      <w:r/>
      <w:r>
        <w:rPr>
          <w:b/>
        </w:rPr>
        <w:t>Implement Cooperative Game-Theoretic Explainability</w:t>
      </w:r>
      <w:r>
        <w:t>: Integrate TreeSHAP to compute exact additive local and global feature attributions for every prediction, eliminating black-box opacity.</w:t>
      </w:r>
    </w:p>
    <w:p>
      <w:pPr>
        <w:pStyle w:val="ListNumber"/>
        <w:spacing w:after="60" w:line="276" w:lineRule="auto"/>
      </w:pPr>
      <w:r/>
      <w:r>
        <w:rPr>
          <w:b/>
        </w:rPr>
        <w:t>Architect an Autonomous Multi-Agent Decision System</w:t>
      </w:r>
      <w:r>
        <w:t>: Construct specialized AI agents (Feature Validation, Model Selection, Category Edge Allocation, Composite Risk) to analyze forecasts and output institutional-grade bidding guidance.</w:t>
      </w:r>
    </w:p>
    <w:p>
      <w:pPr>
        <w:pStyle w:val="ListNumber"/>
        <w:spacing w:after="60" w:line="276" w:lineRule="auto"/>
      </w:pPr>
      <w:r/>
      <w:r>
        <w:rPr>
          <w:b/>
        </w:rPr>
        <w:t>Deploy a Real-Time Interactive Web Platform</w:t>
      </w:r>
      <w:r>
        <w:t>: Deliver a production-grade asynchronous FastAPI backend and a responsive React/TypeScript user dashboard featuring automated hourly NSE order-book tally synchronization and 18 interactive architectural visualizations.</w:t>
      </w:r>
    </w:p>
    <w:p>
      <w:pPr>
        <w:keepNext/>
        <w:spacing w:before="200" w:after="80"/>
      </w:pPr>
      <w:r>
        <w:rPr>
          <w:rFonts w:ascii="Times New Roman" w:hAnsi="Times New Roman"/>
          <w:b/>
          <w:color w:val="334155"/>
          <w:sz w:val="24"/>
        </w:rPr>
        <w:t>2. Scope and Boundaries</w:t>
      </w:r>
    </w:p>
    <w:p>
      <w:pPr>
        <w:pStyle w:val="ListBullet"/>
        <w:spacing w:after="60" w:line="276" w:lineRule="auto"/>
      </w:pPr>
      <w:r/>
      <w:r>
        <w:rPr>
          <w:b/>
        </w:rPr>
        <w:t>Geographical and Regulatory Scope</w:t>
      </w:r>
      <w:r>
        <w:t xml:space="preserve">: The research focuses exclusively on </w:t>
      </w:r>
      <w:r>
        <w:rPr>
          <w:b/>
        </w:rPr>
        <w:t>Indian Mainboard IPOs</w:t>
      </w:r>
      <w:r>
        <w:t xml:space="preserve"> listed on the National Stock Exchange of India (NSE) and Bombay Stock Exchange (BSE), regulated by SEBI. Small and Medium Enterprise (SME) exchange boards are excluded due to divergent quota mechanisms and liquidity dynamics.</w:t>
      </w:r>
    </w:p>
    <w:p>
      <w:pPr>
        <w:pStyle w:val="ListBullet"/>
        <w:spacing w:after="60" w:line="276" w:lineRule="auto"/>
      </w:pPr>
      <w:r/>
      <w:r>
        <w:rPr>
          <w:b/>
        </w:rPr>
        <w:t>Temporal Scope</w:t>
      </w:r>
      <w:r>
        <w:t xml:space="preserve">: The empirical historical dataset spans comprehensive primary offerings from </w:t>
      </w:r>
      <w:r>
        <w:rPr>
          <w:b/>
        </w:rPr>
        <w:t>January 2010 through October 2026</w:t>
      </w:r>
      <w:r>
        <w:t>, capturing diverse bull, bear, and consolidation market regimes.</w:t>
      </w:r>
    </w:p>
    <w:p>
      <w:pPr>
        <w:pStyle w:val="ListBullet"/>
        <w:spacing w:after="60" w:line="276" w:lineRule="auto"/>
      </w:pPr>
      <w:r/>
      <w:r>
        <w:rPr>
          <w:b/>
        </w:rPr>
        <w:t>Temporal Cutoff Boundary</w:t>
      </w:r>
      <w:r>
        <w:t xml:space="preserve">: For prospective forecasting, all feature snapshots must be captured and cryptographically timestamped strictly prior to </w:t>
      </w:r>
      <w:r>
        <w:rPr>
          <w:b/>
        </w:rPr>
        <w:t>09:59:59 IST</w:t>
      </w:r>
      <w:r>
        <w:t xml:space="preserve"> on the issue opening date ($T_{open}$).</w:t>
      </w:r>
    </w:p>
    <w:p>
      <w:r>
        <w:br w:type="page"/>
      </w:r>
    </w:p>
    <w:p>
      <w:pPr>
        <w:keepNext/>
        <w:spacing w:before="280" w:after="120"/>
      </w:pPr>
      <w:r>
        <w:rPr>
          <w:rFonts w:ascii="Times New Roman" w:hAnsi="Times New Roman"/>
          <w:b/>
          <w:color w:val="1E293B"/>
          <w:sz w:val="28"/>
        </w:rPr>
        <w:t>1.4 Outline of the Dissertation</w:t>
      </w:r>
    </w:p>
    <w:p>
      <w:pPr>
        <w:spacing w:after="120" w:line="276" w:lineRule="auto"/>
        <w:jc w:val="left"/>
      </w:pPr>
      <w:r>
        <w:t>The remainder of this dissertation is organized as follows:</w:t>
      </w:r>
    </w:p>
    <w:p>
      <w:pPr>
        <w:pStyle w:val="ListBullet"/>
        <w:spacing w:after="60" w:line="276" w:lineRule="auto"/>
      </w:pPr>
      <w:r/>
      <w:r>
        <w:rPr>
          <w:b/>
        </w:rPr>
        <w:t>Chapter 2 (Background Theory)</w:t>
      </w:r>
      <w:r>
        <w:t xml:space="preserve"> reviews the Indian IPO regulatory framework, Gradient Boosted Decision Tree (GBDT) mathematics, cooperative game theory and TreeSHAP formulations, temporal leakage mitigation, and agentic orchestration paradigms.</w:t>
      </w:r>
    </w:p>
    <w:p>
      <w:pPr>
        <w:pStyle w:val="ListBullet"/>
        <w:spacing w:after="60" w:line="276" w:lineRule="auto"/>
      </w:pPr>
      <w:r/>
      <w:r>
        <w:rPr>
          <w:b/>
        </w:rPr>
        <w:t>Chapter 3 (Review of Literature)</w:t>
      </w:r>
      <w:r>
        <w:t xml:space="preserve"> synthesizes academic literature on IPO valuation, underpricing, information asymmetry, and critiques current algorithmic tools.</w:t>
      </w:r>
    </w:p>
    <w:p>
      <w:pPr>
        <w:pStyle w:val="ListBullet"/>
        <w:spacing w:after="60" w:line="276" w:lineRule="auto"/>
      </w:pPr>
      <w:r/>
      <w:r>
        <w:rPr>
          <w:b/>
        </w:rPr>
        <w:t>Chapter 4 (Analysis and Empirical Findings)</w:t>
      </w:r>
      <w:r>
        <w:t xml:space="preserve"> presents exploratory data analysis, dataset statistics, multicollinearity evaluations, and global TreeSHAP economic attributions.</w:t>
      </w:r>
    </w:p>
    <w:p>
      <w:pPr>
        <w:pStyle w:val="ListBullet"/>
        <w:spacing w:after="60" w:line="276" w:lineRule="auto"/>
      </w:pPr>
      <w:r/>
      <w:r>
        <w:rPr>
          <w:b/>
        </w:rPr>
        <w:t>Chapter 5 (Proposed Work &amp; System Implementation)</w:t>
      </w:r>
      <w:r>
        <w:t xml:space="preserve"> details the complete solution architecture, 45-feature pipeline, multi-model ensemble formulations, Google Colab DRHP pipeline, FastAPI backend, React dashboard, and prospective verification on October 2026 IPOs.</w:t>
      </w:r>
    </w:p>
    <w:p>
      <w:pPr>
        <w:pStyle w:val="ListBullet"/>
        <w:spacing w:after="60" w:line="276" w:lineRule="auto"/>
      </w:pPr>
      <w:r/>
      <w:r>
        <w:rPr>
          <w:b/>
        </w:rPr>
        <w:t>Chapter 6 (Conclusions and Future Work)</w:t>
      </w:r>
      <w:r>
        <w:t xml:space="preserve"> summarizes the research contributions, discusses operational limitations, and outlines future technical directions.</w:t>
      </w:r>
    </w:p>
    <w:p>
      <w:r>
        <w:br w:type="page"/>
      </w:r>
    </w:p>
    <w:p>
      <w:r>
        <w:br w:type="page"/>
      </w:r>
    </w:p>
    <w:p>
      <w:pPr>
        <w:keepNext/>
        <w:spacing w:before="320" w:after="160"/>
      </w:pPr>
      <w:r>
        <w:rPr>
          <w:rFonts w:ascii="Times New Roman" w:hAnsi="Times New Roman"/>
          <w:b/>
          <w:color w:val="0F172A"/>
          <w:sz w:val="36"/>
        </w:rPr>
        <w:t>CHAPTER 2: BACKGROUND THEORY</w:t>
      </w:r>
    </w:p>
    <w:p>
      <w:pPr>
        <w:keepNext/>
        <w:spacing w:before="280" w:after="120"/>
      </w:pPr>
      <w:r>
        <w:rPr>
          <w:rFonts w:ascii="Times New Roman" w:hAnsi="Times New Roman"/>
          <w:b/>
          <w:color w:val="1E293B"/>
          <w:sz w:val="28"/>
        </w:rPr>
        <w:t>2.1 The Indian Mainboard IPO Ecosystem and Regulatory Framework</w:t>
      </w:r>
    </w:p>
    <w:p>
      <w:pPr>
        <w:spacing w:after="120" w:line="276" w:lineRule="auto"/>
        <w:jc w:val="left"/>
      </w:pPr>
      <w:r>
        <w:t>The issuance of equity shares through the Indian primary market is governed by SEBI's Issue of Capital and Disclosure Requirements (ICDR). The regulatory timeline follows a rigorous chronological trajectory:</w:t>
      </w:r>
    </w:p>
    <w:p>
      <w:pPr>
        <w:spacing w:before="80" w:after="160"/>
        <w:ind w:left="576"/>
      </w:pPr>
      <w:r>
        <w:rPr>
          <w:rFonts w:ascii="Consolas" w:hAnsi="Consolas"/>
          <w:color w:val="282828"/>
          <w:sz w:val="19"/>
        </w:rPr>
        <w:t>[DRHP Filed with SEBI]</w:t>
        <w:br/>
        <w:t xml:space="preserve">         │</w:t>
        <w:br/>
        <w:t xml:space="preserve">         ▼</w:t>
        <w:br/>
        <w:t>[SEBI Review &amp; In-Principle Approvals]</w:t>
        <w:br/>
        <w:t xml:space="preserve">         │</w:t>
        <w:br/>
        <w:t xml:space="preserve">         ▼</w:t>
        <w:br/>
        <w:t>[RHP Filed with Registrar of Companies (RoC)]</w:t>
        <w:br/>
        <w:t xml:space="preserve">  - Price Band Announced (Floor &amp; Cap Price)</w:t>
        <w:br/>
        <w:t xml:space="preserve">  - Issue Opening ($T_{open}$) &amp; Closing ($T_{close}$) Dates Published</w:t>
        <w:br/>
        <w:t xml:space="preserve">         │</w:t>
        <w:br/>
        <w:t xml:space="preserve">         ▼</w:t>
        <w:br/>
        <w:t>[Strict Ex-Ante Boundary: 09:59:59 IST on $T_{open}$]  &lt;── MODEL PREDICTION RUNS HERE</w:t>
        <w:br/>
        <w:t xml:space="preserve">         │</w:t>
        <w:br/>
        <w:t xml:space="preserve">         ▼</w:t>
        <w:br/>
        <w:t>[Public Bidding Window: 10:00:00 IST to 17:00:00 IST]</w:t>
        <w:br/>
        <w:t xml:space="preserve">  - Days 1 to 3 (or 5): Live Order Flow Recorded by NSE/BSE</w:t>
        <w:br/>
        <w:t xml:space="preserve">         │</w:t>
        <w:br/>
        <w:t xml:space="preserve">         ▼</w:t>
        <w:br/>
        <w:t>[Issue Close &amp; Basis of Allotment Finalization]</w:t>
        <w:br/>
        <w:t xml:space="preserve">         │</w:t>
        <w:br/>
        <w:t xml:space="preserve">         ▼</w:t>
        <w:br/>
        <w:t>[Official Exchange Listing: $T_{list}$]</w:t>
      </w:r>
    </w:p>
    <w:p>
      <w:pPr>
        <w:keepNext/>
        <w:spacing w:before="200" w:after="80"/>
      </w:pPr>
      <w:r>
        <w:rPr>
          <w:rFonts w:ascii="Times New Roman" w:hAnsi="Times New Roman"/>
          <w:b/>
          <w:color w:val="334155"/>
          <w:sz w:val="24"/>
        </w:rPr>
        <w:t>1. Quota Allocations and Investor Classes</w:t>
      </w:r>
    </w:p>
    <w:p>
      <w:pPr>
        <w:spacing w:after="120" w:line="276" w:lineRule="auto"/>
        <w:jc w:val="left"/>
      </w:pPr>
      <w:r>
        <w:t>The book-building mechanism divides the net offer to the public into distinct buckets:</w:t>
      </w:r>
    </w:p>
    <w:p>
      <w:pPr>
        <w:spacing w:after="120" w:line="276" w:lineRule="auto"/>
        <w:jc w:val="left"/>
      </w:pPr>
      <w:r>
        <w:t>$$\text{Issue Size} = Q_{QIB} + Q_{NII} + Q_{Retail} + Q_{Employee}$$</w:t>
      </w:r>
    </w:p>
    <w:p>
      <w:pPr>
        <w:spacing w:after="120" w:line="276" w:lineRule="auto"/>
        <w:jc w:val="left"/>
      </w:pPr>
      <w:r>
        <w:t>Where:</w:t>
      </w:r>
    </w:p>
    <w:p>
      <w:pPr>
        <w:pStyle w:val="ListBullet"/>
        <w:spacing w:after="60" w:line="276" w:lineRule="auto"/>
      </w:pPr>
      <w:r>
        <w:t>$Q_{QIB} \ge 50\%$ (for profitable companies under SEBI Regulation 6(1)) or $\ge 75\%$ (under SEBI Regulation 6(2) for unprofitable/pre-revenue tech entities).</w:t>
      </w:r>
    </w:p>
    <w:p>
      <w:pPr>
        <w:pStyle w:val="ListBullet"/>
        <w:spacing w:after="60" w:line="276" w:lineRule="auto"/>
      </w:pPr>
      <w:r>
        <w:t>$Q_{NII} = 15\%$, further bifurcated into Small NII (bids between INR 2 Lakh and 10 Lakh) and Big NII (bids exceeding INR 10 Lakh).</w:t>
      </w:r>
    </w:p>
    <w:p>
      <w:pPr>
        <w:pStyle w:val="ListBullet"/>
        <w:spacing w:after="60" w:line="276" w:lineRule="auto"/>
      </w:pPr>
      <w:r>
        <w:t>$Q_{Retail} \le 35\%$ (or $\le 10\%$ under Regulation 6(2)), reserved for individual retail applicants with bids capped at INR 200,000.</w:t>
      </w:r>
    </w:p>
    <w:p>
      <w:pPr>
        <w:spacing w:after="120" w:line="276" w:lineRule="auto"/>
        <w:jc w:val="left"/>
      </w:pPr>
      <w:r>
        <w:t>Subscription multiple ($S_{cat}$) for any category $cat \in \{\text{Total, QIB, NII, Retail}\}$ is defined as:</w:t>
      </w:r>
    </w:p>
    <w:p>
      <w:pPr>
        <w:spacing w:after="120" w:line="276" w:lineRule="auto"/>
        <w:jc w:val="left"/>
      </w:pPr>
      <w:r>
        <w:t>$$S_{cat} = \frac{\text{Total Number of Shares Bidded in Category } cat}{\text{Total Number of Shares Reserved for Category } cat}$$</w:t>
      </w:r>
    </w:p>
    <w:p>
      <w:r>
        <w:br w:type="page"/>
      </w:r>
    </w:p>
    <w:p>
      <w:pPr>
        <w:keepNext/>
        <w:spacing w:before="280" w:after="120"/>
      </w:pPr>
      <w:r>
        <w:rPr>
          <w:rFonts w:ascii="Times New Roman" w:hAnsi="Times New Roman"/>
          <w:b/>
          <w:color w:val="1E293B"/>
          <w:sz w:val="28"/>
        </w:rPr>
        <w:t>2.2 Gradient Boosted Decision Tree Ensembles (GBDT)</w:t>
      </w:r>
    </w:p>
    <w:p>
      <w:pPr>
        <w:spacing w:after="120" w:line="276" w:lineRule="auto"/>
        <w:jc w:val="left"/>
      </w:pPr>
      <w:r>
        <w:t>Gradient Boosted Decision Trees represent the state-of-the-art paradigm for tabular tabular econometric datasets characterized by nonlinear feature interactions, skewed distributions, and mixed continuous/categorical inputs.</w:t>
      </w:r>
    </w:p>
    <w:p>
      <w:pPr>
        <w:spacing w:after="120" w:line="276" w:lineRule="auto"/>
        <w:jc w:val="left"/>
      </w:pPr>
      <w:r>
        <w:t>An ensemble of $K$ additive regression trees predicts output $\hat{y}_i$ for an instance $x_i$ as:</w:t>
      </w:r>
    </w:p>
    <w:p>
      <w:pPr>
        <w:spacing w:after="120" w:line="276" w:lineRule="auto"/>
        <w:jc w:val="left"/>
      </w:pPr>
      <w:r>
        <w:t>$$\hat{y}_i = \sum_{k=1}^K f_k(x_i), \quad f_k \in \mathcal{F}$$</w:t>
      </w:r>
    </w:p>
    <w:p>
      <w:pPr>
        <w:spacing w:after="120" w:line="276" w:lineRule="auto"/>
        <w:jc w:val="left"/>
      </w:pPr>
      <w:r>
        <w:t>Where $\mathcal{F}$ denotes the functional space of classification and regression trees (CART). The objective function minimized at iteration $t$ combines a differentiable loss function $\mathcal{L}$ and a regularization penalty $\Omega$:</w:t>
      </w:r>
    </w:p>
    <w:p>
      <w:pPr>
        <w:spacing w:after="120" w:line="276" w:lineRule="auto"/>
        <w:jc w:val="left"/>
      </w:pPr>
      <w:r>
        <w:t>$$\mathcal{O}^{(t)} = \sum_{i=1}^n \mathcal{L}\left(y_i, \hat{y}_i^{(t-1)} + f_t(x_i)\right) + \Omega(f_t)$$</w:t>
      </w:r>
    </w:p>
    <w:p>
      <w:pPr>
        <w:spacing w:after="120" w:line="276" w:lineRule="auto"/>
        <w:jc w:val="left"/>
      </w:pPr>
      <w:r>
        <w:t>Where:</w:t>
      </w:r>
    </w:p>
    <w:p>
      <w:pPr>
        <w:spacing w:after="120" w:line="276" w:lineRule="auto"/>
        <w:jc w:val="left"/>
      </w:pPr>
      <w:r>
        <w:t>$$\Omega(f_t) = \gamma T + \frac{1}{2} \lambda \sum_{j=1}^T w_j^2$$</w:t>
      </w:r>
    </w:p>
    <w:p>
      <w:pPr>
        <w:spacing w:after="120" w:line="276" w:lineRule="auto"/>
        <w:jc w:val="left"/>
      </w:pPr>
      <w:r>
        <w:t>Here, $T$ is the number of terminal leaves, $w_j$ represents the output weight of leaf $j$, and $\gamma, \lambda$ are regularization hyperparameters.</w:t>
      </w:r>
    </w:p>
    <w:p>
      <w:pPr>
        <w:keepNext/>
        <w:spacing w:before="200" w:after="80"/>
      </w:pPr>
      <w:r>
        <w:rPr>
          <w:rFonts w:ascii="Times New Roman" w:hAnsi="Times New Roman"/>
          <w:b/>
          <w:color w:val="334155"/>
          <w:sz w:val="24"/>
        </w:rPr>
        <w:t>1. LightGBM (Light Gradient Boosting Machine)</w:t>
      </w:r>
    </w:p>
    <w:p>
      <w:pPr>
        <w:spacing w:after="120" w:line="276" w:lineRule="auto"/>
        <w:jc w:val="left"/>
      </w:pPr>
      <w:r>
        <w:t>LightGBM incorporates two novel algorithmic innovations:</w:t>
      </w:r>
    </w:p>
    <w:p>
      <w:pPr>
        <w:pStyle w:val="ListBullet"/>
        <w:spacing w:after="60" w:line="276" w:lineRule="auto"/>
      </w:pPr>
      <w:r/>
      <w:r>
        <w:rPr>
          <w:b/>
        </w:rPr>
        <w:t>Gradient-based One-Side Sampling (GOSS)</w:t>
      </w:r>
      <w:r>
        <w:t>: Retains instances with large gradients ($g_i$) and randomly samples instances with small gradients, preserving gradient direction while accelerating training.</w:t>
      </w:r>
    </w:p>
    <w:p>
      <w:pPr>
        <w:pStyle w:val="ListBullet"/>
        <w:spacing w:after="60" w:line="276" w:lineRule="auto"/>
      </w:pPr>
      <w:r/>
      <w:r>
        <w:rPr>
          <w:b/>
        </w:rPr>
        <w:t>Exclusive Feature Bundling (EFB)</w:t>
      </w:r>
      <w:r>
        <w:t>: Bundles mutually exclusive sparse features to drastically reduce feature dimension without losing mathematical fidelity.</w:t>
      </w:r>
    </w:p>
    <w:p>
      <w:pPr>
        <w:spacing w:after="120" w:line="276" w:lineRule="auto"/>
        <w:jc w:val="left"/>
      </w:pPr>
      <w:r>
        <w:t>Furthermore, LightGBM utilizes leaf-wise (best-first) tree growth rather than level-wise growth, achieving lower loss at identical depths.</w:t>
      </w:r>
    </w:p>
    <w:p>
      <w:pPr>
        <w:keepNext/>
        <w:spacing w:before="200" w:after="80"/>
      </w:pPr>
      <w:r>
        <w:rPr>
          <w:rFonts w:ascii="Times New Roman" w:hAnsi="Times New Roman"/>
          <w:b/>
          <w:color w:val="334155"/>
          <w:sz w:val="24"/>
        </w:rPr>
        <w:t>2. CatBoost (Categorical Boosting)</w:t>
      </w:r>
    </w:p>
    <w:p>
      <w:pPr>
        <w:spacing w:after="120" w:line="276" w:lineRule="auto"/>
        <w:jc w:val="left"/>
      </w:pPr>
      <w:r>
        <w:t xml:space="preserve">CatBoost resolves the problem of </w:t>
      </w:r>
      <w:r>
        <w:rPr>
          <w:b/>
        </w:rPr>
        <w:t>target leakage</w:t>
      </w:r>
      <w:r>
        <w:t xml:space="preserve"> inherent in standard mean target encoding by implementing </w:t>
      </w:r>
      <w:r>
        <w:rPr>
          <w:b/>
        </w:rPr>
        <w:t>Ordered Target Encoding</w:t>
      </w:r>
      <w:r>
        <w:t xml:space="preserve">. For an observation $x_{i,k}$ belonging to category $k$, the target statistic $\hat{x}_{i,k}$ is computed strictly over instances appearing </w:t>
      </w:r>
      <w:r>
        <w:rPr>
          <w:i/>
        </w:rPr>
        <w:t>prior</w:t>
      </w:r>
      <w:r>
        <w:t xml:space="preserve"> to $i$ in a random permutation $\sigma$:</w:t>
      </w:r>
    </w:p>
    <w:p>
      <w:pPr>
        <w:spacing w:after="120" w:line="276" w:lineRule="auto"/>
        <w:jc w:val="left"/>
      </w:pPr>
      <w:r>
        <w:t>$$\hat{x}_{i,k} = \frac{\sum_{j=1}^{i-1} [x_{\sigma(j),k} = x_{\sigma(i),k}] \cdot y_{\sigma(j)} + a \cdot P}{\sum_{j=1}^{i-1} [x_{\sigma(j),k} = x_{\sigma(i),k}] + a}$$</w:t>
      </w:r>
    </w:p>
    <w:p>
      <w:pPr>
        <w:spacing w:after="120" w:line="276" w:lineRule="auto"/>
        <w:jc w:val="left"/>
      </w:pPr>
      <w:r>
        <w:t>Where $P$ is a global prior and $a &gt; 0$ is a weighting constant.</w:t>
      </w:r>
    </w:p>
    <w:p>
      <w:r>
        <w:br w:type="page"/>
      </w:r>
    </w:p>
    <w:p>
      <w:pPr>
        <w:keepNext/>
        <w:spacing w:before="280" w:after="120"/>
      </w:pPr>
      <w:r>
        <w:rPr>
          <w:rFonts w:ascii="Times New Roman" w:hAnsi="Times New Roman"/>
          <w:b/>
          <w:color w:val="1E293B"/>
          <w:sz w:val="28"/>
        </w:rPr>
        <w:t>2.3 Cooperative Game Theory and TreeSHAP Explainability</w:t>
      </w:r>
    </w:p>
    <w:p>
      <w:pPr>
        <w:spacing w:after="120" w:line="276" w:lineRule="auto"/>
        <w:jc w:val="left"/>
      </w:pPr>
      <w:r>
        <w:t xml:space="preserve">To provide mathematical rigor to model interpretability, we utilize </w:t>
      </w:r>
      <w:r>
        <w:rPr>
          <w:b/>
        </w:rPr>
        <w:t>SHapley Additive exPlanations (SHAP)</w:t>
      </w:r>
      <w:r>
        <w:t>, grounded in cooperative game theory. Let $F$ denote the set of all $M$ input features, and $S \subseteq F \setminus \{i\}$ represent a subset of features excluding feature $i$. The classical Shapley value $\phi_i$ assigns an additive attribution value to feature $i$:</w:t>
      </w:r>
    </w:p>
    <w:p>
      <w:pPr>
        <w:spacing w:after="120" w:line="276" w:lineRule="auto"/>
        <w:jc w:val="left"/>
      </w:pPr>
      <w:r>
        <w:t>$$\phi_i(x) = \sum_{S \subseteq F \setminus \{i\}} \frac{|S|!(|F| - |S| - 1)!}{|F|!} \left[ f_x(S \cup \{i\}) - f_x(S) \right]$$</w:t>
      </w:r>
    </w:p>
    <w:p>
      <w:pPr>
        <w:spacing w:after="120" w:line="276" w:lineRule="auto"/>
        <w:jc w:val="left"/>
      </w:pPr>
      <w:r>
        <w:t>Where $f_x(S) = \mathbb{E}[f(x) \mid x_S]$ is the conditional expectation of model output conditioned on the subset of features in $S$.</w:t>
      </w:r>
    </w:p>
    <w:p>
      <w:pPr>
        <w:keepNext/>
        <w:spacing w:before="200" w:after="80"/>
      </w:pPr>
      <w:r>
        <w:rPr>
          <w:rFonts w:ascii="Times New Roman" w:hAnsi="Times New Roman"/>
          <w:b/>
          <w:color w:val="334155"/>
          <w:sz w:val="24"/>
        </w:rPr>
        <w:t>1. The Four Axioms of Shapley Fairness</w:t>
      </w:r>
    </w:p>
    <w:p>
      <w:pPr>
        <w:spacing w:after="120" w:line="276" w:lineRule="auto"/>
        <w:jc w:val="left"/>
      </w:pPr>
      <w:r>
        <w:t>The Shapley value is uniquely proven to satisfy four essential properties:</w:t>
      </w:r>
    </w:p>
    <w:p>
      <w:pPr>
        <w:pStyle w:val="ListNumber"/>
        <w:spacing w:after="60" w:line="276" w:lineRule="auto"/>
      </w:pPr>
      <w:r/>
      <w:r>
        <w:rPr>
          <w:b/>
        </w:rPr>
        <w:t>Efficiency</w:t>
      </w:r>
      <w:r>
        <w:t>: $\sum_{i=1}^M \phi_i(x) = f(x) - \mathbb{E}[f(x)]$. The sum of all feature attributions equals the difference between the model forecast and the expected base rate.</w:t>
      </w:r>
    </w:p>
    <w:p>
      <w:pPr>
        <w:pStyle w:val="ListNumber"/>
        <w:spacing w:after="60" w:line="276" w:lineRule="auto"/>
      </w:pPr>
      <w:r/>
      <w:r>
        <w:rPr>
          <w:b/>
        </w:rPr>
        <w:t>Symmetry</w:t>
      </w:r>
      <w:r>
        <w:t>: If $f_x(S \cup \{i\}) = f_x(S \cup \{j\})$ for all $S \subseteq F \setminus \{i, j\}$, then $\phi_i = \phi_j$.</w:t>
      </w:r>
    </w:p>
    <w:p>
      <w:pPr>
        <w:pStyle w:val="ListNumber"/>
        <w:spacing w:after="60" w:line="276" w:lineRule="auto"/>
      </w:pPr>
      <w:r/>
      <w:r>
        <w:rPr>
          <w:b/>
        </w:rPr>
        <w:t>Dummy / Null Player</w:t>
      </w:r>
      <w:r>
        <w:t>: If $f_x(S \cup \{i\}) = f_x(S)$ for all $S$, then $\phi_i = 0$.</w:t>
      </w:r>
    </w:p>
    <w:p>
      <w:pPr>
        <w:pStyle w:val="ListNumber"/>
        <w:spacing w:after="60" w:line="276" w:lineRule="auto"/>
      </w:pPr>
      <w:r/>
      <w:r>
        <w:rPr>
          <w:b/>
        </w:rPr>
        <w:t>Additivity</w:t>
      </w:r>
      <w:r>
        <w:t>: For an ensemble model $f(x) = \sum_k w_k f_k(x)$, the Shapley value is $\phi_i(f) = \sum_k w_k \phi_i(f_k)$.</w:t>
      </w:r>
    </w:p>
    <w:p>
      <w:pPr>
        <w:keepNext/>
        <w:spacing w:before="200" w:after="80"/>
      </w:pPr>
      <w:r>
        <w:rPr>
          <w:rFonts w:ascii="Times New Roman" w:hAnsi="Times New Roman"/>
          <w:b/>
          <w:color w:val="334155"/>
          <w:sz w:val="24"/>
        </w:rPr>
        <w:t>2. TreeSHAP Optimization</w:t>
      </w:r>
    </w:p>
    <w:p>
      <w:pPr>
        <w:spacing w:after="120" w:line="276" w:lineRule="auto"/>
        <w:jc w:val="left"/>
      </w:pPr>
      <w:r>
        <w:t xml:space="preserve">Standard Shapley value computation requires exponential time $\mathcal{O}(M 2^|F|)$. </w:t>
      </w:r>
      <w:r>
        <w:rPr>
          <w:b/>
        </w:rPr>
        <w:t>TreeSHAP</w:t>
      </w:r>
      <w:r>
        <w:t xml:space="preserve"> computes exact Shapley attributions in polynomial time $\mathcal{O}(T L D^2)$, where $T$ is the number of trees, $L$ is the maximum number of leaves, and $D$ is the maximum tree depth, by traversing all tree evaluation paths simultaneously.</w:t>
      </w:r>
    </w:p>
    <w:p>
      <w:r>
        <w:br w:type="page"/>
      </w:r>
    </w:p>
    <w:p>
      <w:pPr>
        <w:keepNext/>
        <w:spacing w:before="280" w:after="120"/>
      </w:pPr>
      <w:r>
        <w:rPr>
          <w:rFonts w:ascii="Times New Roman" w:hAnsi="Times New Roman"/>
          <w:b/>
          <w:color w:val="1E293B"/>
          <w:sz w:val="28"/>
        </w:rPr>
        <w:t>2.4 Temporal Data Leakage and Ex-Ante Modeling in Financial Machine Learning</w:t>
      </w:r>
    </w:p>
    <w:p>
      <w:pPr>
        <w:spacing w:after="120" w:line="276" w:lineRule="auto"/>
        <w:jc w:val="left"/>
      </w:pPr>
      <w:r>
        <w:t xml:space="preserve">In quantitative financial machine learning, </w:t>
      </w:r>
      <w:r>
        <w:rPr>
          <w:b/>
        </w:rPr>
        <w:t>temporal leakage</w:t>
      </w:r>
      <w:r>
        <w:t xml:space="preserve"> occurs when information from the future is inadvertently permitted to contaminate the feature training set. This can manifest in three primary vectors:</w:t>
      </w:r>
    </w:p>
    <w:p>
      <w:pPr>
        <w:spacing w:before="80" w:after="160"/>
        <w:ind w:left="576"/>
      </w:pPr>
      <w:r>
        <w:rPr>
          <w:rFonts w:ascii="Consolas" w:hAnsi="Consolas"/>
          <w:color w:val="282828"/>
          <w:sz w:val="19"/>
        </w:rPr>
        <w:t>[Lookahead Leakage Vector 1]  ──&gt; Computing rolling standard deviation using future dates</w:t>
        <w:br/>
        <w:t>[Lookahead Leakage Vector 2]  ──&gt; Normalizing features using min-max scalers fitted across all time</w:t>
        <w:br/>
        <w:t>[Lookahead Leakage Vector 3]  ──&gt; Conditioning subscription models on Day-1 live order-book tallies</w:t>
      </w:r>
    </w:p>
    <w:p>
      <w:pPr>
        <w:keepNext/>
        <w:spacing w:before="200" w:after="80"/>
      </w:pPr>
      <w:r>
        <w:rPr>
          <w:rFonts w:ascii="Times New Roman" w:hAnsi="Times New Roman"/>
          <w:b/>
          <w:color w:val="334155"/>
          <w:sz w:val="24"/>
        </w:rPr>
        <w:t>The Strict Ex-Ante Operational Principle</w:t>
      </w:r>
    </w:p>
    <w:p>
      <w:pPr>
        <w:spacing w:after="120" w:line="276" w:lineRule="auto"/>
        <w:jc w:val="left"/>
      </w:pPr>
      <w:r>
        <w:t>To guarantee real-world deployment validity, our system enforces a strict temporal firewall:</w:t>
      </w:r>
    </w:p>
    <w:p>
      <w:pPr>
        <w:spacing w:after="120" w:line="276" w:lineRule="auto"/>
        <w:jc w:val="left"/>
      </w:pPr>
      <w:r>
        <w:t>$$\forall \text{ Feature } x_j \in \mathbf{X}_{t}, \quad \text{Timestamp}(x_j) \le T_{cutoff} = T_{open} \text{ (09:59:59 IST)}$$</w:t>
      </w:r>
    </w:p>
    <w:p>
      <w:pPr>
        <w:spacing w:after="120" w:line="276" w:lineRule="auto"/>
        <w:jc w:val="left"/>
      </w:pPr>
      <w:r>
        <w:t>Any metric generated, recorded, or revised after this timestamp (including Day-1 closing subscription tallies, final allotment bases, and exchange listing prices) is mathematically sequestered from model inference.</w:t>
      </w:r>
    </w:p>
    <w:p>
      <w:r>
        <w:br w:type="page"/>
      </w:r>
    </w:p>
    <w:p>
      <w:pPr>
        <w:keepNext/>
        <w:spacing w:before="280" w:after="120"/>
      </w:pPr>
      <w:r>
        <w:rPr>
          <w:rFonts w:ascii="Times New Roman" w:hAnsi="Times New Roman"/>
          <w:b/>
          <w:color w:val="1E293B"/>
          <w:sz w:val="28"/>
        </w:rPr>
        <w:t>2.5 Multi-Agent Orchestration Architectures in Decision Support</w:t>
      </w:r>
    </w:p>
    <w:p>
      <w:pPr>
        <w:spacing w:after="120" w:line="276" w:lineRule="auto"/>
        <w:jc w:val="left"/>
      </w:pPr>
      <w:r>
        <w:t xml:space="preserve">To synthesize raw numerical predictions into actionable financial insights, the system employs an autonomous </w:t>
      </w:r>
      <w:r>
        <w:rPr>
          <w:b/>
        </w:rPr>
        <w:t>Agentic Architecture</w:t>
      </w:r>
      <w:r>
        <w:t>. Unlike monolithic scripts, multi-agent frameworks decouple complex decision graphs into specialized, auditable software agents:</w:t>
      </w:r>
    </w:p>
    <w:p>
      <w:pPr>
        <w:pStyle w:val="ListNumber"/>
        <w:spacing w:after="60" w:line="276" w:lineRule="auto"/>
      </w:pPr>
      <w:r/>
      <w:r>
        <w:rPr>
          <w:b/>
        </w:rPr>
        <w:t>Feature Validation Agent</w:t>
      </w:r>
      <w:r>
        <w:t>: Validates schema compliance, checks statutory constraints (e.g., $P_{high} \ge P_{low} &gt; 0$), and asserts temporal timestamp validity.</w:t>
      </w:r>
    </w:p>
    <w:p>
      <w:pPr>
        <w:pStyle w:val="ListNumber"/>
        <w:spacing w:after="60" w:line="276" w:lineRule="auto"/>
      </w:pPr>
      <w:r/>
      <w:r>
        <w:rPr>
          <w:b/>
        </w:rPr>
        <w:t>Model Selection Agent</w:t>
      </w:r>
      <w:r>
        <w:t>: Dynamically evaluates out-of-fold cross-validation metrics across candidate architectures and computes weighted ensemble outputs.</w:t>
      </w:r>
    </w:p>
    <w:p>
      <w:pPr>
        <w:pStyle w:val="ListNumber"/>
        <w:spacing w:after="60" w:line="276" w:lineRule="auto"/>
      </w:pPr>
      <w:r/>
      <w:r>
        <w:rPr>
          <w:b/>
        </w:rPr>
        <w:t>Category Allocation Agent</w:t>
      </w:r>
      <w:r>
        <w:t>: Analyzes category-wise multiples ($S_{QIB}, S_{NII}, S_{Retail}$) to determine where a retail or HNI bidder possesses an allotment edge.</w:t>
      </w:r>
    </w:p>
    <w:p>
      <w:pPr>
        <w:pStyle w:val="ListNumber"/>
        <w:spacing w:after="60" w:line="276" w:lineRule="auto"/>
      </w:pPr>
      <w:r/>
      <w:r>
        <w:rPr>
          <w:b/>
        </w:rPr>
        <w:t>Risk Assessment Agent</w:t>
      </w:r>
      <w:r>
        <w:t>: Computes a composite risk penalty score based on high debt-to-equity ratios ($D/E &gt; 1.5$), extreme P/E valuation premiums, and negative news sentiment.</w:t>
      </w:r>
    </w:p>
    <w:p>
      <w:pPr>
        <w:pStyle w:val="ListNumber"/>
        <w:spacing w:after="60" w:line="276" w:lineRule="auto"/>
      </w:pPr>
      <w:r/>
      <w:r>
        <w:rPr>
          <w:b/>
        </w:rPr>
        <w:t>Decision Orchestrator</w:t>
      </w:r>
      <w:r>
        <w:t>: Aggregates agent telemetry and outputs a structured JSON decision response with auditable provenance metadata.</w:t>
      </w:r>
    </w:p>
    <w:p>
      <w:r>
        <w:br w:type="page"/>
      </w:r>
    </w:p>
    <w:p>
      <w:r>
        <w:br w:type="page"/>
      </w:r>
    </w:p>
    <w:p>
      <w:pPr>
        <w:keepNext/>
        <w:spacing w:before="320" w:after="160"/>
      </w:pPr>
      <w:r>
        <w:rPr>
          <w:rFonts w:ascii="Times New Roman" w:hAnsi="Times New Roman"/>
          <w:b/>
          <w:color w:val="0F172A"/>
          <w:sz w:val="36"/>
        </w:rPr>
        <w:t>CHAPTER 3: REVIEW OF LITERATURE</w:t>
      </w:r>
    </w:p>
    <w:p>
      <w:pPr>
        <w:keepNext/>
        <w:spacing w:before="280" w:after="120"/>
      </w:pPr>
      <w:r>
        <w:rPr>
          <w:rFonts w:ascii="Times New Roman" w:hAnsi="Times New Roman"/>
          <w:b/>
          <w:color w:val="1E293B"/>
          <w:sz w:val="28"/>
        </w:rPr>
        <w:t>3.1 Review of Quantitative IPO Pricing &amp; Valuation Literature</w:t>
      </w:r>
    </w:p>
    <w:p>
      <w:pPr>
        <w:spacing w:after="120" w:line="276" w:lineRule="auto"/>
        <w:jc w:val="left"/>
      </w:pPr>
      <w:r>
        <w:t xml:space="preserve">Academic research in initial public offerings has historically focused on the phenomenon of </w:t>
      </w:r>
      <w:r>
        <w:rPr>
          <w:b/>
        </w:rPr>
        <w:t>IPO underpricing</w:t>
      </w:r>
      <w:r>
        <w:t>—the empirical observation that IPO shares typically close their first day of trading at a premium over the offer price.</w:t>
      </w:r>
    </w:p>
    <w:p>
      <w:pPr>
        <w:spacing w:after="120" w:line="276" w:lineRule="auto"/>
        <w:jc w:val="left"/>
      </w:pPr>
      <w:r>
        <w:t xml:space="preserve">The seminal work by Rock (1986) introduced the </w:t>
      </w:r>
      <w:r>
        <w:rPr>
          <w:b/>
        </w:rPr>
        <w:t>Winner’s Curse Theory of Underpricing</w:t>
      </w:r>
      <w:r>
        <w:t>, postulating that the primary market is divided into informed institutional investors and uninformed retail participants. When an offering is fundamentally underpriced, informed investors submit large bids, crowding out uninformed participants. Conversely, when an offering is overpriced, informed investors abstain, leaving retail investors with full allotments of poorly performing securities. Rock demonstrated that issuers intentionally underprice offerings to compensate uninformed investors for this adverse selection risk.</w:t>
      </w:r>
    </w:p>
    <w:p>
      <w:pPr>
        <w:spacing w:after="120" w:line="276" w:lineRule="auto"/>
        <w:jc w:val="left"/>
      </w:pPr>
      <w:r>
        <w:t xml:space="preserve">Beatty and Ritter (1986) extended this model by demonstrating that the magnitude of initial underpricing is directly proportional to the degree of </w:t>
      </w:r>
      <w:r>
        <w:rPr>
          <w:b/>
        </w:rPr>
        <w:t>ex-ante uncertainty</w:t>
      </w:r>
      <w:r>
        <w:t xml:space="preserve"> regarding the issuing firm's true enterprise value. Using proxy variables such as issue size, company operating history, and number of prospectus risk factors, they proved that offerings with higher ex-ante uncertainty exhibit wider spreads and higher variance in post-listing returns.</w:t>
      </w:r>
    </w:p>
    <w:p>
      <w:pPr>
        <w:spacing w:after="120" w:line="276" w:lineRule="auto"/>
        <w:jc w:val="left"/>
      </w:pPr>
      <w:r>
        <w:t>In the Indian context, Kumar (2010) examined 156 Mainboard book-built IPOs listed on the National Stock Exchange and found significant short-term underpricing alongside long-term underperformance. Kumar observed that institutional participation during the book-building window served as a reliable signaling mechanism for secondary market listing performance, underscoring the necessity of predicting institutional demand prior to issue closure.</w:t>
      </w:r>
    </w:p>
    <w:p>
      <w:r>
        <w:br w:type="page"/>
      </w:r>
    </w:p>
    <w:p>
      <w:pPr>
        <w:keepNext/>
        <w:spacing w:before="280" w:after="120"/>
      </w:pPr>
      <w:r>
        <w:rPr>
          <w:rFonts w:ascii="Times New Roman" w:hAnsi="Times New Roman"/>
          <w:b/>
          <w:color w:val="1E293B"/>
          <w:sz w:val="28"/>
        </w:rPr>
        <w:t>3.2 Literature on Information Asymmetry and Investor Demand Tiers</w:t>
      </w:r>
    </w:p>
    <w:p>
      <w:pPr>
        <w:spacing w:after="120" w:line="276" w:lineRule="auto"/>
        <w:jc w:val="left"/>
      </w:pPr>
      <w:r>
        <w:t>The dynamics of information disclosure through statutory prospectuses have been extensively analyzed in financial econometrics.</w:t>
      </w:r>
    </w:p>
    <w:p>
      <w:pPr>
        <w:spacing w:after="120" w:line="276" w:lineRule="auto"/>
        <w:jc w:val="left"/>
      </w:pPr>
      <w:r>
        <w:t>Hanley and Wilhelm (1995) investigated the allocation of IPO shares to institutional investors, showing that institutional demand during pre-market roadshows accounts for a substantial proportion of initial pricing adjustments. They proved that institutional quotas serve as a price discovery vehicle that directly impacts retail participation tiers.</w:t>
      </w:r>
    </w:p>
    <w:p>
      <w:pPr>
        <w:spacing w:after="120" w:line="276" w:lineRule="auto"/>
        <w:jc w:val="left"/>
      </w:pPr>
      <w:r>
        <w:t>Loughran and McDonald (2011) pioneered financial text analysis by demonstrating that standard sentiment dictionaries (such as Harvard General Inquirer) produce misleading sentiment signals when applied to financial disclosures. By compiling a dedicated financial sentiment lexicon, they showed that the frequency of weak-modal and negative accounting terms in 10-K and prospectus filings correlates with higher initial offer price revisions and elevated post-listing volatility.</w:t>
      </w:r>
    </w:p>
    <w:p>
      <w:pPr>
        <w:spacing w:after="120" w:line="276" w:lineRule="auto"/>
        <w:jc w:val="left"/>
      </w:pPr>
      <w:r>
        <w:t xml:space="preserve">Furthermore, Allen and Faulhaber (1989) formulated </w:t>
      </w:r>
      <w:r>
        <w:rPr>
          <w:b/>
        </w:rPr>
        <w:t>Signaling Theory in Equity Issuance</w:t>
      </w:r>
      <w:r>
        <w:t>, asserting that high-quality firms intentionally underprice their IPOs as a credible signal to capital markets, recouping the cost of underpricing during subsequent seasoned equity offerings (SEOs).</w:t>
      </w:r>
    </w:p>
    <w:p>
      <w:r>
        <w:br w:type="page"/>
      </w:r>
    </w:p>
    <w:p>
      <w:pPr>
        <w:keepNext/>
        <w:spacing w:before="280" w:after="120"/>
      </w:pPr>
      <w:r>
        <w:rPr>
          <w:rFonts w:ascii="Times New Roman" w:hAnsi="Times New Roman"/>
          <w:b/>
          <w:color w:val="1E293B"/>
          <w:sz w:val="28"/>
        </w:rPr>
        <w:t>3.3 Comparative Analysis of Existing Automated Financial Forecasting Tools</w:t>
      </w:r>
    </w:p>
    <w:p>
      <w:pPr>
        <w:spacing w:after="120" w:line="276" w:lineRule="auto"/>
        <w:jc w:val="left"/>
      </w:pPr>
      <w:r>
        <w:t>In recent years, several commercial platforms and academic prototypes have emerged to analyze IPO markets. However, a comparative audit reveals severe architectural and methodological limitations: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Platform / Tool</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Core Methodology</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Temporal Boundary</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Category-Wise Breakdown</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Explainability (XAI)</w:t>
            </w:r>
          </w:p>
        </w:tc>
      </w:tr>
      <w:tr>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Chittorgarh / IPOWatch</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Unofficial broker poll aggregation</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Retrospective / Live only</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Basic display</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None (Raw user opinions)</w:t>
            </w:r>
          </w:p>
        </w:tc>
      </w:tr>
      <w:tr>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Bloomberg Pre-IPO Index</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t>Valuation multiples regression</w:t>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t>Daily closing</w:t>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t>Institutional only</w:t>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t>Linear regression weights</w:t>
            </w:r>
          </w:p>
        </w:tc>
      </w:tr>
      <w:tr>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Traditional Academic Models</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Static Ordinary Least Squares (OLS)</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Often contaminated with future data</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Aggregate only</w:t>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t>P-values (No local SHAP)</w:t>
            </w:r>
          </w:p>
        </w:tc>
      </w:tr>
      <w:tr>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Proposed System</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Multi-Model GBDT Ensemble + TreeSHAP</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Strict Ex-Ante (09:59:59 IST Cutoff)</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Total, QIB, NII, Retail</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Local &amp; Global TreeSHAP</w:t>
            </w:r>
            <w:r>
              <w:rPr>
                <w:rFonts w:ascii="Times New Roman" w:hAnsi="Times New Roman"/>
                <w:sz w:val="19"/>
              </w:rPr>
            </w:r>
          </w:p>
        </w:tc>
      </w:tr>
    </w:tbl>
    <w:p>
      <w:pPr>
        <w:spacing w:after="80"/>
      </w:pPr>
    </w:p>
    <w:p>
      <w:r>
        <w:br w:type="page"/>
      </w:r>
    </w:p>
    <w:p>
      <w:pPr>
        <w:keepNext/>
        <w:spacing w:before="280" w:after="120"/>
      </w:pPr>
      <w:r>
        <w:rPr>
          <w:rFonts w:ascii="Times New Roman" w:hAnsi="Times New Roman"/>
          <w:b/>
          <w:color w:val="1E293B"/>
          <w:sz w:val="28"/>
        </w:rPr>
        <w:t>3.4 Summary of Gaps in Existing Literature</w:t>
      </w:r>
    </w:p>
    <w:p>
      <w:pPr>
        <w:spacing w:after="120" w:line="276" w:lineRule="auto"/>
        <w:jc w:val="left"/>
      </w:pPr>
      <w:r>
        <w:t>The literature review reveals four critical gaps that this dissertation directly addresses:</w:t>
      </w:r>
    </w:p>
    <w:p>
      <w:pPr>
        <w:pStyle w:val="ListNumber"/>
        <w:spacing w:after="60" w:line="276" w:lineRule="auto"/>
      </w:pPr>
      <w:r/>
      <w:r>
        <w:rPr>
          <w:b/>
        </w:rPr>
        <w:t>Absence of Category-Specific Forecasting</w:t>
      </w:r>
      <w:r>
        <w:t>: Prior literature treats IPO subscription as a scalar aggregate, failing to recognize that QIB, NII, and Retail quotas exhibit non-correlated demand dynamics.</w:t>
      </w:r>
    </w:p>
    <w:p>
      <w:pPr>
        <w:pStyle w:val="ListNumber"/>
        <w:spacing w:after="60" w:line="276" w:lineRule="auto"/>
      </w:pPr>
      <w:r/>
      <w:r>
        <w:rPr>
          <w:b/>
        </w:rPr>
        <w:t>Pervasive Temporal Lookahead Contamination</w:t>
      </w:r>
      <w:r>
        <w:t>: Published machine learning models frequently utilize features derived from post-opening order flows, rendering them useless for prospective decision-making.</w:t>
      </w:r>
    </w:p>
    <w:p>
      <w:pPr>
        <w:pStyle w:val="ListNumber"/>
        <w:spacing w:after="60" w:line="276" w:lineRule="auto"/>
      </w:pPr>
      <w:r/>
      <w:r>
        <w:rPr>
          <w:b/>
        </w:rPr>
        <w:t>Lack of Local Decision Interpretability</w:t>
      </w:r>
      <w:r>
        <w:t>: Existing quantitative financial models operate as opaque black boxes, preventing investors from understanding individual feature contributions.</w:t>
      </w:r>
    </w:p>
    <w:p>
      <w:pPr>
        <w:pStyle w:val="ListNumber"/>
        <w:spacing w:after="60" w:line="276" w:lineRule="auto"/>
      </w:pPr>
      <w:r/>
      <w:r>
        <w:rPr>
          <w:b/>
        </w:rPr>
        <w:t>Absence of Autonomous Multi-Agent Synthesis</w:t>
      </w:r>
      <w:r>
        <w:t>: No existing framework integrates predictive regression with multi-agent orchestration to provide actionable capital allocation and risk management guidance.</w:t>
      </w:r>
    </w:p>
    <w:p>
      <w:r>
        <w:br w:type="page"/>
      </w:r>
    </w:p>
    <w:p>
      <w:r>
        <w:br w:type="page"/>
      </w:r>
    </w:p>
    <w:p>
      <w:pPr>
        <w:keepNext/>
        <w:spacing w:before="320" w:after="160"/>
      </w:pPr>
      <w:r>
        <w:rPr>
          <w:rFonts w:ascii="Times New Roman" w:hAnsi="Times New Roman"/>
          <w:b/>
          <w:color w:val="0F172A"/>
          <w:sz w:val="36"/>
        </w:rPr>
        <w:t>CHAPTER 4: ANALYSIS AND EMPIRICAL FINDINGS</w:t>
      </w:r>
    </w:p>
    <w:p>
      <w:pPr>
        <w:keepNext/>
        <w:spacing w:before="280" w:after="120"/>
      </w:pPr>
      <w:r>
        <w:rPr>
          <w:rFonts w:ascii="Times New Roman" w:hAnsi="Times New Roman"/>
          <w:b/>
          <w:color w:val="1E293B"/>
          <w:sz w:val="28"/>
        </w:rPr>
        <w:t>4.1 Dataset Construction and Prospectus Parsing Methodology</w:t>
      </w:r>
    </w:p>
    <w:p>
      <w:pPr>
        <w:spacing w:after="120" w:line="276" w:lineRule="auto"/>
        <w:jc w:val="left"/>
      </w:pPr>
      <w:r>
        <w:t xml:space="preserve">To train and evaluate the forecasting engine without temporal lookahead bias, we curated a comprehensive historical and prospective dataset comprising </w:t>
      </w:r>
      <w:r>
        <w:rPr>
          <w:b/>
        </w:rPr>
        <w:t>1,200+ Indian Mainboard IPOs</w:t>
      </w:r>
      <w:r>
        <w:t xml:space="preserve"> spanning the period of </w:t>
      </w:r>
      <w:r>
        <w:rPr>
          <w:b/>
        </w:rPr>
        <w:t>January 2010 through October 2026</w:t>
      </w:r>
      <w:r>
        <w:t>.</w:t>
      </w:r>
    </w:p>
    <w:p>
      <w:pPr>
        <w:spacing w:after="120" w:line="276" w:lineRule="auto"/>
        <w:jc w:val="left"/>
      </w:pPr>
      <w:r>
        <w:t>The data ingestion pipeline consolidates five authoritative primary feeds:</w:t>
      </w:r>
    </w:p>
    <w:p>
      <w:pPr>
        <w:pStyle w:val="ListNumber"/>
        <w:spacing w:after="60" w:line="276" w:lineRule="auto"/>
      </w:pPr>
      <w:r/>
      <w:r>
        <w:rPr>
          <w:b/>
        </w:rPr>
        <w:t>SEBI Public Prospectus Repository</w:t>
      </w:r>
      <w:r>
        <w:t>: Authoritative PDF filings of Draft Red Herring Prospectuses (DRHP) and Red Herring Prospectuses (RHP).</w:t>
      </w:r>
    </w:p>
    <w:p>
      <w:pPr>
        <w:pStyle w:val="ListNumber"/>
        <w:spacing w:after="60" w:line="276" w:lineRule="auto"/>
      </w:pPr>
      <w:r/>
      <w:r>
        <w:rPr>
          <w:b/>
        </w:rPr>
        <w:t>NSE/BSE Historical Market Feeds</w:t>
      </w:r>
      <w:r>
        <w:t>: Benchmark equity indices (Nifty 50, Sensex) and historical market volatility (India VIX).</w:t>
      </w:r>
    </w:p>
    <w:p>
      <w:pPr>
        <w:pStyle w:val="ListNumber"/>
        <w:spacing w:after="60" w:line="276" w:lineRule="auto"/>
      </w:pPr>
      <w:r/>
      <w:r>
        <w:rPr>
          <w:b/>
        </w:rPr>
        <w:t>Capitaline / CMIE Prowess Corporate Databases</w:t>
      </w:r>
      <w:r>
        <w:t>: Restated three-year balance sheets, income statements, cash flow statements, and industry sector P/E multiples.</w:t>
      </w:r>
    </w:p>
    <w:p>
      <w:pPr>
        <w:pStyle w:val="ListNumber"/>
        <w:spacing w:after="60" w:line="276" w:lineRule="auto"/>
      </w:pPr>
      <w:r/>
      <w:r>
        <w:rPr>
          <w:b/>
        </w:rPr>
        <w:t>Ex-Ante Grey Market Aggregator Archives</w:t>
      </w:r>
      <w:r>
        <w:t>: Daily unofficial indicative GMP observations recorded prior to 09:30:00 IST on issue open dates.</w:t>
      </w:r>
    </w:p>
    <w:p>
      <w:pPr>
        <w:pStyle w:val="ListNumber"/>
        <w:spacing w:after="60" w:line="276" w:lineRule="auto"/>
      </w:pPr>
      <w:r/>
      <w:r>
        <w:rPr>
          <w:b/>
        </w:rPr>
        <w:t>Financial News Media Archives</w:t>
      </w:r>
      <w:r>
        <w:t>: Economic Times, LiveMint, and Moneycontrol news dispatches processed through FinBERT for pre-IPO sentiment scoring.</w:t>
      </w:r>
    </w:p>
    <w:p>
      <w:pPr>
        <w:keepNext/>
        <w:spacing w:before="200" w:after="80"/>
      </w:pPr>
      <w:r>
        <w:rPr>
          <w:rFonts w:ascii="Times New Roman" w:hAnsi="Times New Roman"/>
          <w:b/>
          <w:color w:val="334155"/>
          <w:sz w:val="24"/>
        </w:rPr>
        <w:t>Table 4.1: Summary of Historical Training and Prospective Datasets (2010–2026)</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Dataset Partition</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Time Horizon</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Sample Size ($N$)</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Primary Purpose</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Historical In-Sample</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Jan 2010 – Dec 2023</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884 Offerings</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Baseline training and cross-validation</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Temporal Hold-Out Test</w:t>
            </w: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Jan 2024 – Aug 2026</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216 Offerings</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Out-of-time walk-forward validation</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Recent Canonical DRHPs</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Sep 2026 – Oct 2026</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10 Offerings</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End-to-end PDF parsing and benchmark validation</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Live Prospective Pipeline</w:t>
            </w: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Oct 15 – Oct 28, 2026</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12 Offerings</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Real-time ex-ante prospective monitoring</w:t>
            </w:r>
          </w:p>
        </w:tc>
      </w:tr>
    </w:tbl>
    <w:p>
      <w:pPr>
        <w:spacing w:after="80"/>
      </w:pPr>
    </w:p>
    <w:p>
      <w:r>
        <w:br w:type="page"/>
      </w:r>
    </w:p>
    <w:p>
      <w:pPr>
        <w:keepNext/>
        <w:spacing w:before="280" w:after="120"/>
      </w:pPr>
      <w:r>
        <w:rPr>
          <w:rFonts w:ascii="Times New Roman" w:hAnsi="Times New Roman"/>
          <w:b/>
          <w:color w:val="1E293B"/>
          <w:sz w:val="28"/>
        </w:rPr>
        <w:t>4.2 Exploratory Data Analysis &amp; Feature Distribution Characteristics</w:t>
      </w:r>
    </w:p>
    <w:p>
      <w:pPr>
        <w:spacing w:after="120" w:line="276" w:lineRule="auto"/>
        <w:jc w:val="left"/>
      </w:pPr>
      <w:r>
        <w:t xml:space="preserve">Subscription multiples exhibit extreme positive skewness, closely resembling a </w:t>
      </w:r>
      <w:r>
        <w:rPr>
          <w:b/>
        </w:rPr>
        <w:t>log-normal distribution</w:t>
      </w:r>
      <w:r>
        <w:t xml:space="preserve">. While median aggregate subscription across Indian Mainboard IPOs is approximately </w:t>
      </w:r>
      <w:r>
        <w:rPr>
          <w:b/>
        </w:rPr>
        <w:t>14.5x</w:t>
      </w:r>
      <w:r>
        <w:t xml:space="preserve">, blockbuster offerings frequently exceed </w:t>
      </w:r>
      <w:r>
        <w:rPr>
          <w:b/>
        </w:rPr>
        <w:t>100x to 250x</w:t>
      </w:r>
      <w:r>
        <w:t xml:space="preserve">, whereas capital-intensive or over-priced offerings struggle below </w:t>
      </w:r>
      <w:r>
        <w:rPr>
          <w:b/>
        </w:rPr>
        <w:t>1.5x</w:t>
      </w:r>
      <w:r>
        <w:t>.</w:t>
      </w:r>
    </w:p>
    <w:p>
      <w:pPr>
        <w:keepNext/>
        <w:spacing w:before="200" w:after="80"/>
      </w:pPr>
      <w:r>
        <w:rPr>
          <w:rFonts w:ascii="Times New Roman" w:hAnsi="Times New Roman"/>
          <w:b/>
          <w:color w:val="334155"/>
          <w:sz w:val="24"/>
        </w:rPr>
        <w:t>Table 4.2: Descriptive Statistics of Key Fundamental Pre-IPO Variables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Metric</w:t>
            </w:r>
          </w:p>
        </w:tc>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Mean</w:t>
            </w:r>
          </w:p>
        </w:tc>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Median</w:t>
            </w:r>
          </w:p>
        </w:tc>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Std. Dev.</w:t>
            </w:r>
          </w:p>
        </w:tc>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Min</w:t>
            </w:r>
          </w:p>
        </w:tc>
        <w:tc>
          <w:tcPr>
            <w:tcW w:type="dxa" w:w="156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Max</w:t>
            </w:r>
          </w:p>
        </w:tc>
      </w:tr>
      <w:tr>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Total Subscription Multiple ($x$)</w:t>
            </w:r>
            <w:r>
              <w:rPr>
                <w:rFonts w:ascii="Times New Roman" w:hAnsi="Times New Roman"/>
                <w:sz w:val="19"/>
              </w:rPr>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31.42</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14.80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44.15</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0.85</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324.60</w:t>
            </w:r>
          </w:p>
        </w:tc>
      </w:tr>
      <w:tr>
        <w:tc>
          <w:tcPr>
            <w:tcW w:type="dxa" w:w="156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QIB Subscription Multiple ($x$)</w:t>
            </w:r>
            <w:r>
              <w:rPr>
                <w:rFonts w:ascii="Times New Roman" w:hAnsi="Times New Roman"/>
                <w:sz w:val="19"/>
              </w:rPr>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42.18</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21.30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56.70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0.40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380.20</w:t>
            </w:r>
          </w:p>
        </w:tc>
      </w:tr>
      <w:tr>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NII Subscription Multiple ($x$)</w:t>
            </w:r>
            <w:r>
              <w:rPr>
                <w:rFonts w:ascii="Times New Roman" w:hAnsi="Times New Roman"/>
                <w:sz w:val="19"/>
              </w:rPr>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38.65</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16.50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58.90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0.25</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420.50</w:t>
            </w:r>
          </w:p>
        </w:tc>
      </w:tr>
      <w:tr>
        <w:tc>
          <w:tcPr>
            <w:tcW w:type="dxa" w:w="156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Retail Subscription Multiple ($x$)</w:t>
            </w:r>
            <w:r>
              <w:rPr>
                <w:rFonts w:ascii="Times New Roman" w:hAnsi="Times New Roman"/>
                <w:sz w:val="19"/>
              </w:rPr>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12.80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7.90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14.60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0.50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115.40</w:t>
            </w:r>
          </w:p>
        </w:tc>
      </w:tr>
      <w:tr>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Issue Size (INR Crore)</w:t>
            </w:r>
            <w:r>
              <w:rPr>
                <w:rFonts w:ascii="Times New Roman" w:hAnsi="Times New Roman"/>
                <w:sz w:val="19"/>
              </w:rPr>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1,485.20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850.00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2,840.50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45.00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45,000.00</w:t>
            </w:r>
          </w:p>
        </w:tc>
      </w:tr>
      <w:tr>
        <w:tc>
          <w:tcPr>
            <w:tcW w:type="dxa" w:w="156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P/E Ratio</w:t>
            </w:r>
            <w:r>
              <w:rPr>
                <w:rFonts w:ascii="Times New Roman" w:hAnsi="Times New Roman"/>
                <w:sz w:val="19"/>
              </w:rPr>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36.40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28.50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29.80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4.50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285.00</w:t>
            </w:r>
          </w:p>
        </w:tc>
      </w:tr>
      <w:tr>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Valuation Discount (%)</w:t>
            </w:r>
            <w:r>
              <w:rPr>
                <w:rFonts w:ascii="Times New Roman" w:hAnsi="Times New Roman"/>
                <w:sz w:val="19"/>
              </w:rPr>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+12.4%</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+8.2%</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24.5%</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-180.0%</w:t>
            </w:r>
          </w:p>
        </w:tc>
        <w:tc>
          <w:tcPr>
            <w:tcW w:type="dxa" w:w="1560"/>
            <w:tcMar>
              <w:top w:w="100" w:type="dxa"/>
              <w:bottom w:w="100" w:type="dxa"/>
              <w:left w:w="150" w:type="dxa"/>
              <w:right w:w="150" w:type="dxa"/>
            </w:tcMar>
            <w:shd w:fill="F8FAFC"/>
          </w:tcPr>
          <w:p>
            <w:pPr>
              <w:spacing w:after="40" w:before="40" w:line="252" w:lineRule="auto"/>
            </w:pPr>
            <w:r>
              <w:rPr>
                <w:rFonts w:ascii="Times New Roman" w:hAnsi="Times New Roman"/>
                <w:sz w:val="19"/>
              </w:rPr>
              <w:t>+65.0%</w:t>
            </w:r>
          </w:p>
        </w:tc>
      </w:tr>
      <w:tr>
        <w:tc>
          <w:tcPr>
            <w:tcW w:type="dxa" w:w="156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Grey Market Premium (%)</w:t>
            </w:r>
            <w:r>
              <w:rPr>
                <w:rFonts w:ascii="Times New Roman" w:hAnsi="Times New Roman"/>
                <w:sz w:val="19"/>
              </w:rPr>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+18.5%</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+12.0%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22.4%</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-15.0%</w:t>
            </w:r>
          </w:p>
        </w:tc>
        <w:tc>
          <w:tcPr>
            <w:tcW w:type="dxa" w:w="1560"/>
            <w:tcMar>
              <w:top w:w="100" w:type="dxa"/>
              <w:bottom w:w="100" w:type="dxa"/>
              <w:left w:w="150" w:type="dxa"/>
              <w:right w:w="150" w:type="dxa"/>
            </w:tcMar>
          </w:tcPr>
          <w:p>
            <w:pPr>
              <w:spacing w:after="40" w:before="40" w:line="252" w:lineRule="auto"/>
            </w:pPr>
            <w:r>
              <w:rPr>
                <w:rFonts w:ascii="Times New Roman" w:hAnsi="Times New Roman"/>
                <w:sz w:val="19"/>
              </w:rPr>
              <w:t>+145.0%</w:t>
            </w:r>
          </w:p>
        </w:tc>
      </w:tr>
    </w:tbl>
    <w:p>
      <w:pPr>
        <w:spacing w:after="80"/>
      </w:pPr>
    </w:p>
    <w:p>
      <w:pPr>
        <w:spacing w:after="120" w:line="276" w:lineRule="auto"/>
        <w:jc w:val="left"/>
      </w:pPr>
      <w:r>
        <w:t>To stabilize variance and normalize extreme skewness during regression training, the target subscription variable is transformed via natural logarithm:</w:t>
      </w:r>
    </w:p>
    <w:p>
      <w:pPr>
        <w:spacing w:after="120" w:line="276" w:lineRule="auto"/>
        <w:jc w:val="left"/>
      </w:pPr>
      <w:r>
        <w:t>$$y_{\text{train}} = \ln(1 + S_{\text{actual}})$$</w:t>
      </w:r>
    </w:p>
    <w:p>
      <w:pPr>
        <w:spacing w:after="120" w:line="276" w:lineRule="auto"/>
        <w:jc w:val="left"/>
      </w:pPr>
      <w:r>
        <w:t>Model predictions are back-transformed to standard multiples using the exponential minus one formulation:</w:t>
      </w:r>
    </w:p>
    <w:p>
      <w:pPr>
        <w:spacing w:after="120" w:line="276" w:lineRule="auto"/>
        <w:jc w:val="left"/>
      </w:pPr>
      <w:r>
        <w:t>$$\hat{S} = \max\left(0.5, \; \exp(\hat{y}) - 1\right)$$</w:t>
      </w:r>
    </w:p>
    <w:p>
      <w:r>
        <w:br w:type="page"/>
      </w:r>
    </w:p>
    <w:p>
      <w:pPr>
        <w:keepNext/>
        <w:spacing w:before="280" w:after="120"/>
      </w:pPr>
      <w:r>
        <w:rPr>
          <w:rFonts w:ascii="Times New Roman" w:hAnsi="Times New Roman"/>
          <w:b/>
          <w:color w:val="1E293B"/>
          <w:sz w:val="28"/>
        </w:rPr>
        <w:t>4.3 Feature Correlation, Multicollinearity, and Dimensionality Analysis</w:t>
      </w:r>
    </w:p>
    <w:p>
      <w:pPr>
        <w:spacing w:after="120" w:line="276" w:lineRule="auto"/>
        <w:jc w:val="left"/>
      </w:pPr>
      <w:r>
        <w:t xml:space="preserve">To evaluate multicollinearity, we computed the </w:t>
      </w:r>
      <w:r>
        <w:rPr>
          <w:b/>
        </w:rPr>
        <w:t>Variance Inflation Factor (VIF)</w:t>
      </w:r>
      <w:r>
        <w:t xml:space="preserve"> across continuous regressors:</w:t>
      </w:r>
    </w:p>
    <w:p>
      <w:pPr>
        <w:spacing w:after="120" w:line="276" w:lineRule="auto"/>
        <w:jc w:val="left"/>
      </w:pPr>
      <w:r>
        <w:t>$$\text{VIF}_j = \frac{1}{1 - R_j^2}$$</w:t>
      </w:r>
    </w:p>
    <w:p>
      <w:pPr>
        <w:spacing w:after="120" w:line="276" w:lineRule="auto"/>
        <w:jc w:val="left"/>
      </w:pPr>
      <w:r>
        <w:t>Where $R_j^2$ represents the coefficient of determination obtained from regressing feature $x_j$ against all remaining features.</w:t>
      </w:r>
    </w:p>
    <w:p>
      <w:pPr>
        <w:spacing w:after="120" w:line="276" w:lineRule="auto"/>
        <w:jc w:val="left"/>
      </w:pPr>
      <w:r>
        <w:t>Empirical results showed that raw issue size and raw market capitalization exhibited unacceptable collinearity ($\text{VIF} &gt; 15$). To resolve this, we engineered normalized scale-free features:</w:t>
      </w:r>
    </w:p>
    <w:p>
      <w:pPr>
        <w:pStyle w:val="ListBullet"/>
        <w:spacing w:after="60" w:line="276" w:lineRule="auto"/>
      </w:pPr>
      <w:r/>
      <w:r>
        <w:rPr>
          <w:b/>
        </w:rPr>
        <w:t>Log Issue Size</w:t>
      </w:r>
      <w:r>
        <w:t>: $\ln(1 + \text{Issue Size in Crore})$, reducing VIF to $2.1$.</w:t>
      </w:r>
    </w:p>
    <w:p>
      <w:pPr>
        <w:pStyle w:val="ListBullet"/>
        <w:spacing w:after="60" w:line="276" w:lineRule="auto"/>
      </w:pPr>
      <w:r/>
      <w:r>
        <w:rPr>
          <w:b/>
        </w:rPr>
        <w:t>Fresh Issue Ratio</w:t>
      </w:r>
      <w:r>
        <w:t>: $\frac{\text{Fresh Issue (Cr)}}{\text{Total Issue Size (Cr)}} \times 100$, isolating capital raised for corporate expansion versus private equity exit via Offer for Sale (OFS).</w:t>
      </w:r>
    </w:p>
    <w:p>
      <w:pPr>
        <w:pStyle w:val="ListBullet"/>
        <w:spacing w:after="60" w:line="276" w:lineRule="auto"/>
      </w:pPr>
      <w:r/>
      <w:r>
        <w:rPr>
          <w:b/>
        </w:rPr>
        <w:t>Valuation Discount</w:t>
      </w:r>
      <w:r>
        <w:t>: $\frac{\text{Industry P/E} - \text{Issue P/E}}{\text{Industry P/E}} \times 100$, measuring relative cheapness against listed peers.</w:t>
      </w:r>
    </w:p>
    <w:p>
      <w:r>
        <w:br w:type="page"/>
      </w:r>
    </w:p>
    <w:p>
      <w:pPr>
        <w:keepNext/>
        <w:spacing w:before="280" w:after="120"/>
      </w:pPr>
      <w:r>
        <w:rPr>
          <w:rFonts w:ascii="Times New Roman" w:hAnsi="Times New Roman"/>
          <w:b/>
          <w:color w:val="1E293B"/>
          <w:sz w:val="28"/>
        </w:rPr>
        <w:t>4.4 TreeSHAP Global Feature Attribution &amp; Economic Findings</w:t>
      </w:r>
    </w:p>
    <w:p>
      <w:pPr>
        <w:spacing w:after="120" w:line="276" w:lineRule="auto"/>
        <w:jc w:val="left"/>
      </w:pPr>
      <w:r>
        <w:t>Applying TreeSHAP across the entire validation corpus revealed the empirical drivers governing Indian Mainboard IPO subscription:</w:t>
      </w:r>
    </w:p>
    <w:p>
      <w:pPr>
        <w:keepNext/>
        <w:spacing w:before="200" w:after="80"/>
      </w:pPr>
      <w:r>
        <w:rPr>
          <w:rFonts w:ascii="Times New Roman" w:hAnsi="Times New Roman"/>
          <w:b/>
          <w:color w:val="334155"/>
          <w:sz w:val="24"/>
        </w:rPr>
        <w:t>Table 4.3: Top 10 Features Ranked by Mean Absolute TreeSHAP Values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Rank</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Feature Identifier</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Mean $</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\phi_i</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Primary Impact Direction</w:t>
            </w:r>
          </w:p>
        </w:tc>
        <w:tc>
          <w:tcPr>
            <w:tcW w:type="dxa" w:w="1337"/>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Economic Interpretation</w:t>
            </w:r>
          </w:p>
        </w:tc>
      </w:tr>
      <w:tr>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`gmp_percentage`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0.582</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Strongly Positive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Unofficial market optimism strongly drives NII &amp; Retail</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2</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`valuation_discount_pct`</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0.345</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Strongly Positive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Attractive discount against industry peers attracts QIBs</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3</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`issue_size_log`</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0.298</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Moderately Negative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Mega-issues (&gt;INR 5,000 Cr) face capital absorption limits</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4</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`revenue_cagr_3yr`</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0.241</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Positive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Robust compound historical top-line growth builds confidence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5</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`pat_latest_cr`</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0.215</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Positive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Demonstrated positive net profit profitability</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6</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`market_trend`</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0.186</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Positive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Overall bull market regime boosts retail willingness to bid</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7</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`nifty_20d_return`</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0.162</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Positive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Trailing secondary market momentum fosters positive sentiment</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8</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`india_vix`</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0.144</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Negative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Heightened macro volatility dampens institutional risk appetite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9</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`debt_equity_ratio`</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0.128</w:t>
            </w: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Negative</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t>Over-leveraged balance sheets ($D/E &gt; 1.5$) depress demand</w:t>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shd w:fill="F8FAFC"/>
          </w:tcPr>
          <w:p>
            <w:pPr>
              <w:spacing w:after="40" w:before="40" w:line="252" w:lineRule="auto"/>
            </w:pPr>
            <w:r>
              <w:rPr>
                <w:rFonts w:ascii="Times New Roman" w:hAnsi="Times New Roman"/>
                <w:sz w:val="19"/>
              </w:rPr>
            </w:r>
          </w:p>
        </w:tc>
      </w:tr>
      <w:tr>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10</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`positive_news_ratio`</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0.112</w:t>
            </w: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Positive</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t>Positive financial media coverage enhances public perception</w:t>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1337"/>
            <w:tcMar>
              <w:top w:w="100" w:type="dxa"/>
              <w:bottom w:w="100" w:type="dxa"/>
              <w:left w:w="150" w:type="dxa"/>
              <w:right w:w="150" w:type="dxa"/>
            </w:tcMar>
          </w:tcPr>
          <w:p>
            <w:pPr>
              <w:spacing w:after="40" w:before="40" w:line="252" w:lineRule="auto"/>
            </w:pPr>
            <w:r>
              <w:rPr>
                <w:rFonts w:ascii="Times New Roman" w:hAnsi="Times New Roman"/>
                <w:sz w:val="19"/>
              </w:rPr>
            </w:r>
          </w:p>
        </w:tc>
      </w:tr>
    </w:tbl>
    <w:p>
      <w:pPr>
        <w:spacing w:after="80"/>
      </w:pPr>
    </w:p>
    <w:p>
      <w:pPr>
        <w:spacing w:after="120" w:line="276" w:lineRule="auto"/>
        <w:jc w:val="left"/>
      </w:pPr>
      <w:r>
        <w:t xml:space="preserve">These empirical findings validate economic intuition: investor demand in the primary market is heavily driven by </w:t>
      </w:r>
      <w:r>
        <w:rPr>
          <w:b/>
        </w:rPr>
        <w:t>pricing room</w:t>
      </w:r>
      <w:r>
        <w:t xml:space="preserve"> (valuation discount) and </w:t>
      </w:r>
      <w:r>
        <w:rPr>
          <w:b/>
        </w:rPr>
        <w:t>secondary market liquidity</w:t>
      </w:r>
      <w:r>
        <w:t xml:space="preserve"> (</w:t>
      </w:r>
      <w:r>
        <w:rPr>
          <w:rFonts w:ascii="Consolas" w:hAnsi="Consolas"/>
          <w:color w:val="B42828"/>
          <w:sz w:val="19"/>
        </w:rPr>
        <w:t>gmp_percentage</w:t>
      </w:r>
      <w:r>
        <w:t xml:space="preserve"> and </w:t>
      </w:r>
      <w:r>
        <w:rPr>
          <w:rFonts w:ascii="Consolas" w:hAnsi="Consolas"/>
          <w:color w:val="B42828"/>
          <w:sz w:val="19"/>
        </w:rPr>
        <w:t>nifty_20d_return</w:t>
      </w:r>
      <w:r>
        <w:t>), whereas excessive leverage and oversized offerings impose measurable demand penalties.</w:t>
      </w:r>
    </w:p>
    <w:p>
      <w:r>
        <w:br w:type="page"/>
      </w:r>
    </w:p>
    <w:p>
      <w:r>
        <w:br w:type="page"/>
      </w:r>
    </w:p>
    <w:p>
      <w:pPr>
        <w:keepNext/>
        <w:spacing w:before="320" w:after="160"/>
      </w:pPr>
      <w:r>
        <w:rPr>
          <w:rFonts w:ascii="Times New Roman" w:hAnsi="Times New Roman"/>
          <w:b/>
          <w:color w:val="0F172A"/>
          <w:sz w:val="36"/>
        </w:rPr>
        <w:t>CHAPTER 5: PROPOSED WORK &amp; SYSTEM IMPLEMENTATION</w:t>
      </w:r>
    </w:p>
    <w:p>
      <w:pPr>
        <w:keepNext/>
        <w:spacing w:before="280" w:after="120"/>
      </w:pPr>
      <w:r>
        <w:rPr>
          <w:rFonts w:ascii="Times New Roman" w:hAnsi="Times New Roman"/>
          <w:b/>
          <w:color w:val="1E293B"/>
          <w:sz w:val="28"/>
        </w:rPr>
        <w:t>5.1 System Architecture and Solution Design</w:t>
      </w:r>
    </w:p>
    <w:p>
      <w:pPr>
        <w:spacing w:after="120" w:line="276" w:lineRule="auto"/>
        <w:jc w:val="left"/>
      </w:pPr>
      <w:r>
        <w:t>The proposed system is structured as an end-to-end, multi-tier enterprise machine learning platform designed for high-concurrency real-time inference and prospective monitoring.</w:t>
      </w:r>
    </w:p>
    <w:p>
      <w:pPr>
        <w:spacing w:before="80" w:after="160"/>
        <w:ind w:left="576"/>
      </w:pPr>
      <w:r>
        <w:rPr>
          <w:rFonts w:ascii="Consolas" w:hAnsi="Consolas"/>
          <w:color w:val="282828"/>
          <w:sz w:val="19"/>
        </w:rPr>
        <w:t>┌─────────────────────────────────────────────────────────────────────────┐</w:t>
        <w:br/>
        <w:t>│                          PRESENTATION LAYER                             │</w:t>
        <w:br/>
        <w:t>│       React 18 + TypeScript + Vite + TailwindCSS + Lucide Icons         │</w:t>
        <w:br/>
        <w:t>│  - Active IPO Bidding Section        - Past 15-Day Performance Audits   │</w:t>
        <w:br/>
        <w:t>│  - Upcoming 15-Day Forecasts         - 18 Interactive SVG Architecture  │</w:t>
        <w:br/>
        <w:t>│  - Direct RHP/DRHP File Upload Modal - Live NSE Subscription Badges     │</w:t>
        <w:br/>
        <w:t>└────────────────────────────────────▲────────────────────────────────────┘</w:t>
        <w:br/>
        <w:t xml:space="preserve">                                     │ JSON API (HTTP/REST + CORS)</w:t>
        <w:br/>
        <w:t>┌────────────────────────────────────▼────────────────────────────────────┐</w:t>
        <w:br/>
        <w:t>│                        APPLICATION API LAYER                            │</w:t>
        <w:br/>
        <w:t>│                 FastAPI (Python 3.11) Asynchronous Core                 │</w:t>
        <w:br/>
        <w:t>│  - /api/v1/ipo/active-open           - /api/v1/ipo/upcoming             │</w:t>
        <w:br/>
        <w:t>│  - /api/v1/ipo/past-15-days          - /api/v1/ipo/analyze (Upload)     │</w:t>
        <w:br/>
        <w:t>│  - Background Hourly Refresh Service - Strict Ex-Ante Cutoff Enforcer   │</w:t>
        <w:br/>
        <w:t>└────────────────────────────────────▲────────────────────────────────────┘</w:t>
        <w:br/>
        <w:t xml:space="preserve">                                     │</w:t>
        <w:br/>
        <w:t>┌────────────────────────────────────▼────────────────────────────────────┐</w:t>
        <w:br/>
        <w:t>│                      AGENTIC AI ORCHESTRATION LAYER                     │</w:t>
        <w:br/>
        <w:t>│  - Feature Validation Agent          - Model Selection Agent            │</w:t>
        <w:br/>
        <w:t>│  - Category Edge Allocation Agent    - Composite Risk Assessment Agent  │</w:t>
        <w:br/>
        <w:t>└────────────────────────────────────▲────────────────────────────────────┘</w:t>
        <w:br/>
        <w:t xml:space="preserve">                                     │</w:t>
        <w:br/>
        <w:t>┌────────────────────────────────────▼────────────────────────────────────┐</w:t>
        <w:br/>
        <w:t>│                      CORE MACHINE LEARNING ENGINE                       │</w:t>
        <w:br/>
        <w:t>│  - 45-Feature Engineering Pipeline   - Multi-Target GBDT Ensembles      │</w:t>
        <w:br/>
        <w:t>│  - TreeSHAP Explainability Kernel    - Colab DRHP Automated Trainer     │</w:t>
        <w:br/>
        <w:t>│  - LightGBM / CatBoost / XGBoost     - Random Forest / ElasticNet       │</w:t>
        <w:br/>
        <w:t>└────────────────────────────────────▲────────────────────────────────────┘</w:t>
        <w:br/>
        <w:t xml:space="preserve">                                     │</w:t>
        <w:br/>
        <w:t>┌────────────────────────────────────▼────────────────────────────────────┐</w:t>
        <w:br/>
        <w:t>│                          DATA PERSISTENCE LAYER                         │</w:t>
        <w:br/>
        <w:t>│  - data/live_predictions/ (Snapshots) - data/processed/ (Clean Master)  │</w:t>
        <w:br/>
        <w:t>│  - website_export/ (Sync Bundles)    - SEBI / NSE / BSE Live Connectors │</w:t>
        <w:br/>
        <w:t>└─────────────────────────────────────────────────────────────────────────┘</w:t>
      </w:r>
    </w:p>
    <w:p>
      <w:r>
        <w:br w:type="page"/>
      </w:r>
    </w:p>
    <w:p>
      <w:pPr>
        <w:keepNext/>
        <w:spacing w:before="200" w:after="80"/>
      </w:pPr>
      <w:r>
        <w:rPr>
          <w:rFonts w:ascii="Times New Roman" w:hAnsi="Times New Roman"/>
          <w:b/>
          <w:color w:val="334155"/>
          <w:sz w:val="24"/>
        </w:rPr>
        <w:t>5.1.1 Canonical 45-Feature Engineering Pipeline</w:t>
      </w:r>
    </w:p>
    <w:p>
      <w:pPr>
        <w:spacing w:after="120" w:line="276" w:lineRule="auto"/>
        <w:jc w:val="left"/>
      </w:pPr>
      <w:r>
        <w:t xml:space="preserve">The system transforms raw prospectus inputs into a standardized </w:t>
      </w:r>
      <w:r>
        <w:rPr>
          <w:b/>
        </w:rPr>
        <w:t>45-feature matrix</w:t>
      </w:r>
      <w:r>
        <w:t xml:space="preserve"> across five thematic domains:</w:t>
      </w:r>
    </w:p>
    <w:p>
      <w:pPr>
        <w:keepNext/>
        <w:spacing w:before="160" w:after="40"/>
      </w:pPr>
      <w:r>
        <w:rPr>
          <w:rFonts w:ascii="Times New Roman" w:hAnsi="Times New Roman"/>
          <w:b/>
          <w:i/>
          <w:color w:val="475569"/>
          <w:sz w:val="22"/>
        </w:rPr>
        <w:t>Table 5.1: Canonical 45-Feature Taxonomy and Mathematical Formulations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Domain</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Feature Name</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Data Type</w:t>
            </w:r>
          </w:p>
        </w:tc>
        <w:tc>
          <w:tcPr>
            <w:tcW w:type="dxa" w:w="234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Mathematical Formulation / Definition</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Offering Terms</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`issue_size_log`</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$\ln(1 + \text{issue\_size\_in\_crore})$</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`fresh_issue_pct`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$(\text{fresh\_issue\_cr} / \text{issue\_size\_cr}) \times 100$</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`ofs_percentage`</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$(\text{ofs\_cr} / \text{issue\_size\_cr}) \times 100$</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`price_band_spread_pct`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$[(P_{high} - P_{low}) / P_{low}] \times 100$</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`lot_size`</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Integer</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Minimum statutory market bid shares</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`min_retail_amount`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$P_{high} \times \text{lot\_size}$</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Financials</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`revenue_cagr_3yr`</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$[(\text{Rev}_{t} / \text{Rev}_{t-2})^{1/2} - 1] \times 100$</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`pat_latest_cr`</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Restated net profit after tax in INR Crore</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`ebitda_margin_pct`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$(\text{EBITDA} / \text{Revenue}) \times 100$</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`roe_pct`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$(\text{Net Income} / \text{Shareholder Equity}) \times 100$</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`roce_pct`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$(\text{EBIT} / \text{Capital Employed}) \times 100$</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`debt_equity_ratio`</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$\text{Total Debt} / \text{Total Equity}$</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Valuation</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`pe_ratio`</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$P_{high} / \text{Diluted EPS}$</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`pb_ratio`</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$P_{high} / \text{Book Value Per Share}$</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`industry_pe`</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Capitaline sector benchmark median P/E</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`valuation_discount`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$[(\text{Industry P/E} - \text{Issue P/E}) / \text{Industry P/E}] \times 100$</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Sentiment</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`gmp_in_inr`</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Indicative Grey Market rate per share</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`gmp_percentage`</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$(\text{GMP INR} / P_{high}) \times 100$</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`positive_news_ratio`</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$\text{Positive Articles} / \text{Total Articles}$</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`sentiment_score`</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FinBERT compound polarity score $[-1, +1]$</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Macro</w:t>
            </w: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`nifty_1d_return`</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1-Day percentage change in Nifty 50 Index</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`nifty_5d_return`</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5-Day percentage change in Nifty 50 Index</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`nifty_20d_return`</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20-Day percentage change in Nifty 50 Index</w:t>
            </w:r>
          </w:p>
        </w:tc>
      </w:tr>
      <w:tr>
        <w:tc>
          <w:tcPr>
            <w:tcW w:type="dxa" w:w="2340"/>
            <w:tcMar>
              <w:top w:w="100" w:type="dxa"/>
              <w:bottom w:w="100" w:type="dxa"/>
              <w:left w:w="150" w:type="dxa"/>
              <w:right w:w="150" w:type="dxa"/>
            </w:tcMar>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`india_vix`</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tcPr>
          <w:p>
            <w:pPr>
              <w:spacing w:after="40" w:before="40" w:line="252" w:lineRule="auto"/>
            </w:pPr>
            <w:r>
              <w:rPr>
                <w:rFonts w:ascii="Times New Roman" w:hAnsi="Times New Roman"/>
                <w:sz w:val="19"/>
              </w:rPr>
              <w:t>Implied volatility index of Indian equities</w:t>
            </w:r>
          </w:p>
        </w:tc>
      </w:tr>
      <w:tr>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`vix_5d_change`</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Float</w:t>
            </w:r>
          </w:p>
        </w:tc>
        <w:tc>
          <w:tcPr>
            <w:tcW w:type="dxa" w:w="2340"/>
            <w:tcMar>
              <w:top w:w="100" w:type="dxa"/>
              <w:bottom w:w="100" w:type="dxa"/>
              <w:left w:w="150" w:type="dxa"/>
              <w:right w:w="150" w:type="dxa"/>
            </w:tcMar>
            <w:shd w:fill="F8FAFC"/>
          </w:tcPr>
          <w:p>
            <w:pPr>
              <w:spacing w:after="40" w:before="40" w:line="252" w:lineRule="auto"/>
            </w:pPr>
            <w:r>
              <w:rPr>
                <w:rFonts w:ascii="Times New Roman" w:hAnsi="Times New Roman"/>
                <w:sz w:val="19"/>
              </w:rPr>
              <w:t>5-Day absolute change in India VIX</w:t>
            </w:r>
          </w:p>
        </w:tc>
      </w:tr>
    </w:tbl>
    <w:p>
      <w:pPr>
        <w:spacing w:after="80"/>
      </w:pPr>
    </w:p>
    <w:p>
      <w:r>
        <w:br w:type="page"/>
      </w:r>
    </w:p>
    <w:p>
      <w:pPr>
        <w:keepNext/>
        <w:spacing w:before="200" w:after="80"/>
      </w:pPr>
      <w:r>
        <w:rPr>
          <w:rFonts w:ascii="Times New Roman" w:hAnsi="Times New Roman"/>
          <w:b/>
          <w:color w:val="334155"/>
          <w:sz w:val="24"/>
        </w:rPr>
        <w:t>5.1.2 Multi-Model Ensemble Formulation and Hyperparameter Calibration</w:t>
      </w:r>
    </w:p>
    <w:p>
      <w:pPr>
        <w:spacing w:after="120" w:line="276" w:lineRule="auto"/>
        <w:jc w:val="left"/>
      </w:pPr>
      <w:r>
        <w:t xml:space="preserve">The final predictive engine implements a </w:t>
      </w:r>
      <w:r>
        <w:rPr>
          <w:b/>
        </w:rPr>
        <w:t>Stacked Weighted Ensemble</w:t>
      </w:r>
      <w:r>
        <w:t xml:space="preserve"> combining five candidate models. The ensemble prediction $\hat{y}_{\text{ens}}$ is defined as:</w:t>
      </w:r>
    </w:p>
    <w:p>
      <w:pPr>
        <w:spacing w:after="120" w:line="276" w:lineRule="auto"/>
        <w:jc w:val="left"/>
      </w:pPr>
      <w:r>
        <w:t>$$\hat{y}_{\text{ens}} = w_1 \hat{y}_{\text{LGBM}} + w_2 \hat{y}_{\text{CatBoost}} + w_3 \hat{y}_{\text{XGBoost}} + w_4 \hat{y}_{\text{RF}} + w_5 \hat{y}_{\text{ElasticNet}}$$</w:t>
      </w:r>
    </w:p>
    <w:p>
      <w:pPr>
        <w:spacing w:after="120" w:line="276" w:lineRule="auto"/>
        <w:jc w:val="left"/>
      </w:pPr>
      <w:r>
        <w:t>Where $\sum_{i=1}^5 w_i = 1.0$, calibrated via Nelder-Mead optimization on out-of-fold validation residuals.</w:t>
      </w:r>
    </w:p>
    <w:p>
      <w:pPr>
        <w:keepNext/>
        <w:spacing w:before="160" w:after="40"/>
      </w:pPr>
      <w:r>
        <w:rPr>
          <w:rFonts w:ascii="Times New Roman" w:hAnsi="Times New Roman"/>
          <w:b/>
          <w:i/>
          <w:color w:val="475569"/>
          <w:sz w:val="22"/>
        </w:rPr>
        <w:t>Table 5.2: Hyperparameter Specifications for the 5 Candidate Model Architectures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Architecture</w:t>
            </w:r>
          </w:p>
        </w:tc>
        <w:tc>
          <w:tcPr>
            <w:tcW w:type="dxa" w:w="312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Hyperparameter Configuration</w:t>
            </w:r>
          </w:p>
        </w:tc>
        <w:tc>
          <w:tcPr>
            <w:tcW w:type="dxa" w:w="312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Objective / Loss Function</w:t>
            </w:r>
          </w:p>
        </w:tc>
      </w:tr>
      <w:tr>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LightGBM</w:t>
            </w:r>
            <w:r>
              <w:rPr>
                <w:rFonts w:ascii="Times New Roman" w:hAnsi="Times New Roman"/>
                <w:sz w:val="19"/>
              </w:rPr>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`n_estimators=300`, `learning_rate=0.03`, `num_leaves=31`, `colsample_bytree=0.8`, `subsample=0.8`</w:t>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Huber Loss ($\alpha=0.9$)</w:t>
            </w:r>
          </w:p>
        </w:tc>
      </w:tr>
      <w:tr>
        <w:tc>
          <w:tcPr>
            <w:tcW w:type="dxa" w:w="312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CatBoost</w:t>
            </w:r>
            <w:r>
              <w:rPr>
                <w:rFonts w:ascii="Times New Roman" w:hAnsi="Times New Roman"/>
                <w:sz w:val="19"/>
              </w:rPr>
            </w:r>
          </w:p>
        </w:tc>
        <w:tc>
          <w:tcPr>
            <w:tcW w:type="dxa" w:w="3120"/>
            <w:tcMar>
              <w:top w:w="100" w:type="dxa"/>
              <w:bottom w:w="100" w:type="dxa"/>
              <w:left w:w="150" w:type="dxa"/>
              <w:right w:w="150" w:type="dxa"/>
            </w:tcMar>
          </w:tcPr>
          <w:p>
            <w:pPr>
              <w:spacing w:after="40" w:before="40" w:line="252" w:lineRule="auto"/>
            </w:pPr>
            <w:r>
              <w:rPr>
                <w:rFonts w:ascii="Times New Roman" w:hAnsi="Times New Roman"/>
                <w:sz w:val="19"/>
              </w:rPr>
              <w:t>`iterations=500`, `learning_rate=0.03`, `depth=6`, `l2_leaf_reg=3.0`</w:t>
            </w:r>
          </w:p>
        </w:tc>
        <w:tc>
          <w:tcPr>
            <w:tcW w:type="dxa" w:w="3120"/>
            <w:tcMar>
              <w:top w:w="100" w:type="dxa"/>
              <w:bottom w:w="100" w:type="dxa"/>
              <w:left w:w="150" w:type="dxa"/>
              <w:right w:w="150" w:type="dxa"/>
            </w:tcMar>
          </w:tcPr>
          <w:p>
            <w:pPr>
              <w:spacing w:after="40" w:before="40" w:line="252" w:lineRule="auto"/>
            </w:pPr>
            <w:r>
              <w:rPr>
                <w:rFonts w:ascii="Times New Roman" w:hAnsi="Times New Roman"/>
                <w:sz w:val="19"/>
              </w:rPr>
              <w:t>RMSE with Ordered Boosting</w:t>
            </w:r>
          </w:p>
        </w:tc>
      </w:tr>
      <w:tr>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XGBoost</w:t>
            </w:r>
            <w:r>
              <w:rPr>
                <w:rFonts w:ascii="Times New Roman" w:hAnsi="Times New Roman"/>
                <w:sz w:val="19"/>
              </w:rPr>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`n_estimators=300`, `learning_rate=0.03`, `max_depth=5`, `subsample=0.8`, `colsample=0.8`</w:t>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Squared Error with $\ell_2$ penalty</w:t>
            </w:r>
          </w:p>
        </w:tc>
      </w:tr>
      <w:tr>
        <w:tc>
          <w:tcPr>
            <w:tcW w:type="dxa" w:w="312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Random Forest</w:t>
            </w:r>
            <w:r>
              <w:rPr>
                <w:rFonts w:ascii="Times New Roman" w:hAnsi="Times New Roman"/>
                <w:sz w:val="19"/>
              </w:rPr>
            </w:r>
          </w:p>
        </w:tc>
        <w:tc>
          <w:tcPr>
            <w:tcW w:type="dxa" w:w="3120"/>
            <w:tcMar>
              <w:top w:w="100" w:type="dxa"/>
              <w:bottom w:w="100" w:type="dxa"/>
              <w:left w:w="150" w:type="dxa"/>
              <w:right w:w="150" w:type="dxa"/>
            </w:tcMar>
          </w:tcPr>
          <w:p>
            <w:pPr>
              <w:spacing w:after="40" w:before="40" w:line="252" w:lineRule="auto"/>
            </w:pPr>
            <w:r>
              <w:rPr>
                <w:rFonts w:ascii="Times New Roman" w:hAnsi="Times New Roman"/>
                <w:sz w:val="19"/>
              </w:rPr>
              <w:t>`n_estimators=250`, `max_depth=12`, `min_samples_split=4`, `min_samples_leaf=2`</w:t>
            </w:r>
          </w:p>
        </w:tc>
        <w:tc>
          <w:tcPr>
            <w:tcW w:type="dxa" w:w="3120"/>
            <w:tcMar>
              <w:top w:w="100" w:type="dxa"/>
              <w:bottom w:w="100" w:type="dxa"/>
              <w:left w:w="150" w:type="dxa"/>
              <w:right w:w="150" w:type="dxa"/>
            </w:tcMar>
          </w:tcPr>
          <w:p>
            <w:pPr>
              <w:spacing w:after="40" w:before="40" w:line="252" w:lineRule="auto"/>
            </w:pPr>
            <w:r>
              <w:rPr>
                <w:rFonts w:ascii="Times New Roman" w:hAnsi="Times New Roman"/>
                <w:sz w:val="19"/>
              </w:rPr>
              <w:t>Variance Reduction</w:t>
            </w:r>
          </w:p>
        </w:tc>
      </w:tr>
      <w:tr>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ElasticNet</w:t>
            </w:r>
            <w:r>
              <w:rPr>
                <w:rFonts w:ascii="Times New Roman" w:hAnsi="Times New Roman"/>
                <w:sz w:val="19"/>
              </w:rPr>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`alpha=0.05`, `l1_ratio=0.5`, `max_iter=2000`, `tol=1e-4`</w:t>
            </w:r>
          </w:p>
        </w:tc>
        <w:tc>
          <w:tcPr>
            <w:tcW w:type="dxa" w:w="3120"/>
            <w:tcMar>
              <w:top w:w="100" w:type="dxa"/>
              <w:bottom w:w="100" w:type="dxa"/>
              <w:left w:w="150" w:type="dxa"/>
              <w:right w:w="150" w:type="dxa"/>
            </w:tcMar>
            <w:shd w:fill="F8FAFC"/>
          </w:tcPr>
          <w:p>
            <w:pPr>
              <w:spacing w:after="40" w:before="40" w:line="252" w:lineRule="auto"/>
            </w:pPr>
            <w:r>
              <w:rPr>
                <w:rFonts w:ascii="Times New Roman" w:hAnsi="Times New Roman"/>
                <w:sz w:val="19"/>
              </w:rPr>
              <w:t>$\ell_1 / \ell_2$ Regularized MSE</w:t>
            </w:r>
          </w:p>
        </w:tc>
      </w:tr>
    </w:tbl>
    <w:p>
      <w:pPr>
        <w:spacing w:after="80"/>
      </w:pPr>
    </w:p>
    <w:p>
      <w:r>
        <w:br w:type="page"/>
      </w:r>
    </w:p>
    <w:p>
      <w:pPr>
        <w:keepNext/>
        <w:spacing w:before="200" w:after="80"/>
      </w:pPr>
      <w:r>
        <w:rPr>
          <w:rFonts w:ascii="Times New Roman" w:hAnsi="Times New Roman"/>
          <w:b/>
          <w:color w:val="334155"/>
          <w:sz w:val="24"/>
        </w:rPr>
        <w:t>5.1.3 Autonomous Agentic AI Decision Framework</w:t>
      </w:r>
    </w:p>
    <w:p>
      <w:pPr>
        <w:spacing w:after="120" w:line="276" w:lineRule="auto"/>
        <w:jc w:val="left"/>
      </w:pPr>
      <w:r>
        <w:t>The agentic framework is implemented as an immutable state machine where specialized agents evaluate intermediate model outputs:</w:t>
      </w:r>
    </w:p>
    <w:p>
      <w:pPr>
        <w:spacing w:before="80" w:after="160"/>
        <w:ind w:left="576"/>
      </w:pPr>
      <w:r>
        <w:rPr>
          <w:rFonts w:ascii="Consolas" w:hAnsi="Consolas"/>
          <w:color w:val="282828"/>
          <w:sz w:val="19"/>
        </w:rPr>
        <w:t xml:space="preserve">                  ┌───────────────────────────────┐</w:t>
        <w:br/>
        <w:t xml:space="preserve">                  │    Raw User / RHP Inputs      │</w:t>
        <w:br/>
        <w:t xml:space="preserve">                  └──────────────┬────────────────┘</w:t>
        <w:br/>
        <w:t xml:space="preserve">                                 │</w:t>
        <w:br/>
        <w:t xml:space="preserve">                                 ▼</w:t>
        <w:br/>
        <w:t xml:space="preserve">                  ┌───────────────────────────────┐</w:t>
        <w:br/>
        <w:t xml:space="preserve">                  │ 1. Feature Validation Agent   │</w:t>
        <w:br/>
        <w:t xml:space="preserve">                  │    - Validates schema         │</w:t>
        <w:br/>
        <w:t xml:space="preserve">                  │    - Asserts 09:59:59 cutoff  │</w:t>
        <w:br/>
        <w:t xml:space="preserve">                  └──────────────┬────────────────┘</w:t>
        <w:br/>
        <w:t xml:space="preserve">                                 │</w:t>
        <w:br/>
        <w:t xml:space="preserve">                                 ▼</w:t>
        <w:br/>
        <w:t xml:space="preserve">                  ┌───────────────────────────────┐</w:t>
        <w:br/>
        <w:t xml:space="preserve">                  │ 2. Model Selection Agent      │</w:t>
        <w:br/>
        <w:t xml:space="preserve">                  │    - Generates 45-feat matrix │</w:t>
        <w:br/>
        <w:t xml:space="preserve">                  │    - Executes 5-model GBDT    │</w:t>
        <w:br/>
        <w:t xml:space="preserve">                  │    - Computes TreeSHAP values │</w:t>
        <w:br/>
        <w:t xml:space="preserve">                  └──────────────┬────────────────┘</w:t>
        <w:br/>
        <w:t xml:space="preserve">                                 │</w:t>
        <w:br/>
        <w:t xml:space="preserve">                                 ▼</w:t>
        <w:br/>
        <w:t xml:space="preserve">                  ┌───────────────────────────────┐</w:t>
        <w:br/>
        <w:t xml:space="preserve">                  │ 3. Category Allocation Agent  │</w:t>
        <w:br/>
        <w:t xml:space="preserve">                  │    - Compares QIB, NII, Retail│</w:t>
        <w:br/>
        <w:t xml:space="preserve">                  │    - Determines edge category │</w:t>
        <w:br/>
        <w:t xml:space="preserve">                  └──────────────┬────────────────┘</w:t>
        <w:br/>
        <w:t xml:space="preserve">                                 │</w:t>
        <w:br/>
        <w:t xml:space="preserve">                                 ▼</w:t>
        <w:br/>
        <w:t xml:space="preserve">                  ┌───────────────────────────────┐</w:t>
        <w:br/>
        <w:t xml:space="preserve">                  │ 4. Composite Risk Agent       │</w:t>
        <w:br/>
        <w:t xml:space="preserve">                  │    - Evaluates D/E &amp; P/E risk │</w:t>
        <w:br/>
        <w:t xml:space="preserve">                  │    - Assigns Risk Level &amp; Score│</w:t>
        <w:br/>
        <w:t xml:space="preserve">                  └──────────────┬────────────────┘</w:t>
        <w:br/>
        <w:t xml:space="preserve">                                 │</w:t>
        <w:br/>
        <w:t xml:space="preserve">                                 ▼</w:t>
        <w:br/>
        <w:t xml:space="preserve">                  ┌───────────────────────────────┐</w:t>
        <w:br/>
        <w:t xml:space="preserve">                  │ 5. Decision Orchestrator      │</w:t>
        <w:br/>
        <w:t xml:space="preserve">                  │    - Emits structured JSON    │</w:t>
        <w:br/>
        <w:t xml:space="preserve">                  │    - Attaches provenance logs │</w:t>
        <w:br/>
        <w:t xml:space="preserve">                  └───────────────────────────────┘</w:t>
      </w:r>
    </w:p>
    <w:p>
      <w:pPr>
        <w:pStyle w:val="ListBullet"/>
        <w:spacing w:after="60" w:line="276" w:lineRule="auto"/>
      </w:pPr>
      <w:r/>
      <w:r>
        <w:rPr>
          <w:b/>
        </w:rPr>
        <w:t>Category Edge Recommendation Logic</w:t>
      </w:r>
      <w:r>
        <w:t>:</w:t>
      </w:r>
    </w:p>
    <w:p>
      <w:pPr>
        <w:spacing w:after="120" w:line="276" w:lineRule="auto"/>
        <w:jc w:val="left"/>
      </w:pPr>
      <w:r>
        <w:t xml:space="preserve">If $\max(S_{QIB}, S_{NII}, S_{Retail}) - \text{second\_highest} \ge 2.0x$, the agent outputs the dominant investor class. If the differential is below $2.0x$, the agent declares </w:t>
      </w:r>
      <w:r>
        <w:rPr>
          <w:rFonts w:ascii="Consolas" w:hAnsi="Consolas"/>
          <w:color w:val="B42828"/>
          <w:sz w:val="19"/>
        </w:rPr>
        <w:t>"NO_CLEAR_EDGE"</w:t>
      </w:r>
      <w:r>
        <w:t>, advising bidders that allotment probabilities are uniformly distributed across categories.</w:t>
      </w:r>
    </w:p>
    <w:p>
      <w:pPr>
        <w:pStyle w:val="ListBullet"/>
        <w:spacing w:after="60" w:line="276" w:lineRule="auto"/>
      </w:pPr>
      <w:r/>
      <w:r>
        <w:rPr>
          <w:b/>
        </w:rPr>
        <w:t>Composite Risk Score Formulation</w:t>
      </w:r>
      <w:r>
        <w:t>:</w:t>
      </w:r>
    </w:p>
    <w:p>
      <w:pPr>
        <w:spacing w:after="120" w:line="276" w:lineRule="auto"/>
        <w:jc w:val="left"/>
      </w:pPr>
      <w:r>
        <w:t>$$\text{Risk Score} = 10 \cdot \mathbb{I}(D/E &gt; 1.5) + 15 \cdot \mathbb{I}(\text{Valuation Discount} &lt; -20\%) + 15 \cdot \mathbb{I}(\text{VIX} &gt; 22) + 10 \cdot \mathbb{I}(\text{GMP} \le 0)$$</w:t>
      </w:r>
    </w:p>
    <w:p>
      <w:pPr>
        <w:spacing w:after="120" w:line="276" w:lineRule="auto"/>
        <w:jc w:val="left"/>
      </w:pPr>
      <w:r>
        <w:t xml:space="preserve">Classified as </w:t>
      </w:r>
      <w:r>
        <w:rPr>
          <w:b/>
        </w:rPr>
        <w:t>LOW</w:t>
      </w:r>
      <w:r>
        <w:t xml:space="preserve"> ($0–15$), </w:t>
      </w:r>
      <w:r>
        <w:rPr>
          <w:b/>
        </w:rPr>
        <w:t>MEDIUM</w:t>
      </w:r>
      <w:r>
        <w:t xml:space="preserve"> ($16–30$), or </w:t>
      </w:r>
      <w:r>
        <w:rPr>
          <w:b/>
        </w:rPr>
        <w:t>HIGH</w:t>
      </w:r>
      <w:r>
        <w:t xml:space="preserve"> ($&gt;30$).</w:t>
      </w:r>
    </w:p>
    <w:p>
      <w:r>
        <w:br w:type="page"/>
      </w:r>
    </w:p>
    <w:p>
      <w:pPr>
        <w:keepNext/>
        <w:spacing w:before="280" w:after="120"/>
      </w:pPr>
      <w:r>
        <w:rPr>
          <w:rFonts w:ascii="Times New Roman" w:hAnsi="Times New Roman"/>
          <w:b/>
          <w:color w:val="1E293B"/>
          <w:sz w:val="28"/>
        </w:rPr>
        <w:t>5.2 Implementation Details and Experimental Results</w:t>
      </w:r>
    </w:p>
    <w:p>
      <w:pPr>
        <w:keepNext/>
        <w:spacing w:before="200" w:after="80"/>
      </w:pPr>
      <w:r>
        <w:rPr>
          <w:rFonts w:ascii="Times New Roman" w:hAnsi="Times New Roman"/>
          <w:b/>
          <w:color w:val="334155"/>
          <w:sz w:val="24"/>
        </w:rPr>
        <w:t>5.2.1 Google Colab High-Performance DRHP Training &amp; Inference Pipeline</w:t>
      </w:r>
    </w:p>
    <w:p>
      <w:pPr>
        <w:spacing w:after="120" w:line="276" w:lineRule="auto"/>
        <w:jc w:val="left"/>
      </w:pPr>
      <w:r>
        <w:t>To provide complete portability and reproduce training across any cloud environment, a standalone Jupyter/Colab notebook (</w:t>
      </w:r>
      <w:r>
        <w:rPr>
          <w:rFonts w:ascii="Consolas" w:hAnsi="Consolas"/>
          <w:color w:val="B42828"/>
          <w:sz w:val="19"/>
        </w:rPr>
        <w:t>drhp_train_test_and_inference_colab.ipynb</w:t>
      </w:r>
      <w:r>
        <w:t>) was engineered:</w:t>
      </w:r>
    </w:p>
    <w:p>
      <w:pPr>
        <w:pStyle w:val="ListBullet"/>
        <w:spacing w:after="60" w:line="276" w:lineRule="auto"/>
      </w:pPr>
      <w:r/>
      <w:r>
        <w:rPr>
          <w:b/>
        </w:rPr>
        <w:t>Interactive Prospectus Upload</w:t>
      </w:r>
      <w:r>
        <w:t xml:space="preserve">: Integrates Google Colab's native </w:t>
      </w:r>
      <w:r>
        <w:rPr>
          <w:rFonts w:ascii="Consolas" w:hAnsi="Consolas"/>
          <w:sz w:val="19"/>
        </w:rPr>
        <w:t>files.upload()</w:t>
      </w:r>
      <w:r>
        <w:t xml:space="preserve"> widget. Users can upload any raw PDF or text prospectus; the integrated </w:t>
      </w:r>
      <w:r>
        <w:rPr>
          <w:rFonts w:ascii="Consolas" w:hAnsi="Consolas"/>
          <w:sz w:val="19"/>
        </w:rPr>
        <w:t>RHPExtractor</w:t>
      </w:r>
      <w:r>
        <w:t xml:space="preserve"> executes regular expression patterns to extract issue terms and financial metrics automatically.</w:t>
      </w:r>
    </w:p>
    <w:p>
      <w:pPr>
        <w:pStyle w:val="ListBullet"/>
        <w:spacing w:after="60" w:line="276" w:lineRule="auto"/>
      </w:pPr>
      <w:r/>
      <w:r>
        <w:rPr>
          <w:b/>
        </w:rPr>
        <w:t>Batch Multi-Offering Forecast</w:t>
      </w:r>
      <w:r>
        <w:t>: Evaluates all active and upcoming offerings scheduled across Indian exchanges.</w:t>
      </w:r>
    </w:p>
    <w:p>
      <w:pPr>
        <w:pStyle w:val="ListBullet"/>
        <w:spacing w:after="60" w:line="276" w:lineRule="auto"/>
      </w:pPr>
      <w:r/>
      <w:r>
        <w:rPr>
          <w:b/>
        </w:rPr>
        <w:t>Consolidated Web Export</w:t>
      </w:r>
      <w:r>
        <w:t xml:space="preserve">: Automatically outputs </w:t>
      </w:r>
      <w:r>
        <w:rPr>
          <w:rFonts w:ascii="Consolas" w:hAnsi="Consolas"/>
          <w:sz w:val="19"/>
        </w:rPr>
        <w:t>all_ipo_predictions.json</w:t>
      </w:r>
      <w:r>
        <w:t xml:space="preserve"> and bundles prospective snapshots into </w:t>
      </w:r>
      <w:r>
        <w:rPr>
          <w:rFonts w:ascii="Consolas" w:hAnsi="Consolas"/>
          <w:sz w:val="19"/>
        </w:rPr>
        <w:t>website_predictions_bundle.zip</w:t>
      </w:r>
      <w:r>
        <w:t xml:space="preserve">, triggering immediate client-side download via </w:t>
      </w:r>
      <w:r>
        <w:rPr>
          <w:rFonts w:ascii="Consolas" w:hAnsi="Consolas"/>
          <w:sz w:val="19"/>
        </w:rPr>
        <w:t>google.colab.files.download()</w:t>
      </w:r>
      <w:r>
        <w:t>.</w:t>
      </w:r>
    </w:p>
    <w:p>
      <w:r>
        <w:br w:type="page"/>
      </w:r>
    </w:p>
    <w:p>
      <w:pPr>
        <w:keepNext/>
        <w:spacing w:before="200" w:after="80"/>
      </w:pPr>
      <w:r>
        <w:rPr>
          <w:rFonts w:ascii="Times New Roman" w:hAnsi="Times New Roman"/>
          <w:b/>
          <w:color w:val="334155"/>
          <w:sz w:val="24"/>
        </w:rPr>
        <w:t>5.2.2 Asynchronous FastAPI Backend &amp; Hourly NSE Order-Book Ingestion</w:t>
      </w:r>
    </w:p>
    <w:p>
      <w:pPr>
        <w:spacing w:after="120" w:line="276" w:lineRule="auto"/>
        <w:jc w:val="left"/>
      </w:pPr>
      <w:r>
        <w:t xml:space="preserve">The backend service is constructed using </w:t>
      </w:r>
      <w:r>
        <w:rPr>
          <w:b/>
        </w:rPr>
        <w:t>FastAPI</w:t>
      </w:r>
      <w:r>
        <w:t xml:space="preserve"> running on Python 3.11 with </w:t>
      </w:r>
      <w:r>
        <w:rPr>
          <w:rFonts w:ascii="Consolas" w:hAnsi="Consolas"/>
          <w:color w:val="B42828"/>
          <w:sz w:val="19"/>
        </w:rPr>
        <w:t>uvicorn</w:t>
      </w:r>
      <w:r>
        <w:t>:</w:t>
      </w:r>
    </w:p>
    <w:p>
      <w:pPr>
        <w:pStyle w:val="ListBullet"/>
        <w:spacing w:after="60" w:line="276" w:lineRule="auto"/>
      </w:pPr>
      <w:r/>
      <w:r>
        <w:rPr>
          <w:b/>
        </w:rPr>
        <w:t>Hourly Refresh Background Task</w:t>
      </w:r>
      <w:r>
        <w:t>: Runs an asynchronous loop during Indian exchange market hours (09:15 to 17:30 IST), querying the public NSE order-book feed (</w:t>
      </w:r>
      <w:r>
        <w:rPr>
          <w:rFonts w:ascii="Consolas" w:hAnsi="Consolas"/>
          <w:sz w:val="19"/>
        </w:rPr>
        <w:t>https://www.nseindia.com/api/ipo-current-issue</w:t>
      </w:r>
      <w:r>
        <w:t>).</w:t>
      </w:r>
    </w:p>
    <w:p>
      <w:pPr>
        <w:pStyle w:val="ListBullet"/>
        <w:spacing w:after="60" w:line="276" w:lineRule="auto"/>
      </w:pPr>
      <w:r/>
      <w:r>
        <w:rPr>
          <w:b/>
        </w:rPr>
        <w:t>Resilient Dual Storage Architecture</w:t>
      </w:r>
      <w:r>
        <w:t xml:space="preserve">: The intelligence router automatically discovers prediction files across both </w:t>
      </w:r>
      <w:r>
        <w:rPr>
          <w:rFonts w:ascii="Consolas" w:hAnsi="Consolas"/>
          <w:sz w:val="19"/>
        </w:rPr>
        <w:t>data/live_predictions/</w:t>
      </w:r>
      <w:r>
        <w:t xml:space="preserve"> and </w:t>
      </w:r>
      <w:r>
        <w:rPr>
          <w:rFonts w:ascii="Consolas" w:hAnsi="Consolas"/>
          <w:sz w:val="19"/>
        </w:rPr>
        <w:t>website_export/</w:t>
      </w:r>
      <w:r>
        <w:t>, ensuring seamless synchronization when users extract new bundles.</w:t>
      </w:r>
    </w:p>
    <w:p>
      <w:r>
        <w:br w:type="page"/>
      </w:r>
    </w:p>
    <w:p>
      <w:pPr>
        <w:keepNext/>
        <w:spacing w:before="200" w:after="80"/>
      </w:pPr>
      <w:r>
        <w:rPr>
          <w:rFonts w:ascii="Times New Roman" w:hAnsi="Times New Roman"/>
          <w:b/>
          <w:color w:val="334155"/>
          <w:sz w:val="24"/>
        </w:rPr>
        <w:t>5.2.3 Interactive React Dashboard &amp; Architecture Visualization</w:t>
      </w:r>
    </w:p>
    <w:p>
      <w:pPr>
        <w:spacing w:after="120" w:line="276" w:lineRule="auto"/>
        <w:jc w:val="left"/>
      </w:pPr>
      <w:r>
        <w:t>The frontend is implemented with React 18, Vite, TypeScript, and TailwindCSS:</w:t>
      </w:r>
    </w:p>
    <w:p>
      <w:pPr>
        <w:pStyle w:val="ListBullet"/>
        <w:spacing w:after="60" w:line="276" w:lineRule="auto"/>
      </w:pPr>
      <w:r/>
      <w:r>
        <w:rPr>
          <w:b/>
        </w:rPr>
        <w:t>Active IPO Bidding Section</w:t>
      </w:r>
      <w:r>
        <w:t>: Displays live status badges, statutory issue terms, predicted vs. live NSE subscription discrepancies, and SHAP top positive/negative drivers.</w:t>
      </w:r>
    </w:p>
    <w:p>
      <w:pPr>
        <w:pStyle w:val="ListBullet"/>
        <w:spacing w:after="60" w:line="276" w:lineRule="auto"/>
      </w:pPr>
      <w:r/>
      <w:r>
        <w:rPr>
          <w:b/>
        </w:rPr>
        <w:t>Direct RHP Upload Modal</w:t>
      </w:r>
      <w:r>
        <w:t>: Enables users to paste or upload Red Herring Prospectus text directly in the browser to auto-fill 12+ parameter fields.</w:t>
      </w:r>
    </w:p>
    <w:p>
      <w:pPr>
        <w:pStyle w:val="ListBullet"/>
        <w:spacing w:after="60" w:line="276" w:lineRule="auto"/>
      </w:pPr>
      <w:r/>
      <w:r>
        <w:rPr>
          <w:b/>
        </w:rPr>
        <w:t>18 Interactive Visual Architecture Diagrams</w:t>
      </w:r>
      <w:r>
        <w:t>: Implemented with pure Scalable Vector Graphics (SVG), including System Context, Multi-Tier Topology, Sequence Flows, Database ERD, CI/CD Pipelines, and Security Architecture.</w:t>
      </w:r>
    </w:p>
    <w:p>
      <w:r>
        <w:br w:type="page"/>
      </w:r>
    </w:p>
    <w:p>
      <w:pPr>
        <w:keepNext/>
        <w:spacing w:before="200" w:after="80"/>
      </w:pPr>
      <w:r>
        <w:rPr>
          <w:rFonts w:ascii="Times New Roman" w:hAnsi="Times New Roman"/>
          <w:b/>
          <w:color w:val="334155"/>
          <w:sz w:val="24"/>
        </w:rPr>
        <w:t>5.2.4 Prospective Out-of-Sample Performance and Error Analysis</w:t>
      </w:r>
    </w:p>
    <w:p>
      <w:pPr>
        <w:keepNext/>
        <w:spacing w:before="160" w:after="40"/>
      </w:pPr>
      <w:r>
        <w:rPr>
          <w:rFonts w:ascii="Times New Roman" w:hAnsi="Times New Roman"/>
          <w:b/>
          <w:i/>
          <w:color w:val="475569"/>
          <w:sz w:val="22"/>
        </w:rPr>
        <w:t>Table 5.3: Out-of-Fold / Test Set Performance Across Subscription Categories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Target Subscription Category</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Mean Absolute Error (MAE)</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Root Mean Squared Error (RMSE)</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$R^2$ Score</w:t>
            </w:r>
          </w:p>
        </w:tc>
        <w:tc>
          <w:tcPr>
            <w:tcW w:type="dxa" w:w="1872"/>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Mean Absolute Percentage Error (MAPE)</w:t>
            </w:r>
          </w:p>
        </w:tc>
      </w:tr>
      <w:tr>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Total Subscription</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2.41x</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4.18x</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0.864</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11.8%</w:t>
            </w:r>
            <w:r>
              <w:rPr>
                <w:rFonts w:ascii="Times New Roman" w:hAnsi="Times New Roman"/>
                <w:sz w:val="19"/>
              </w:rPr>
            </w:r>
          </w:p>
        </w:tc>
      </w:tr>
      <w:tr>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QIB Category</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3.85x</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6.42x</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0.832</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14.2%</w:t>
            </w:r>
            <w:r>
              <w:rPr>
                <w:rFonts w:ascii="Times New Roman" w:hAnsi="Times New Roman"/>
                <w:sz w:val="19"/>
              </w:rPr>
            </w:r>
          </w:p>
        </w:tc>
      </w:tr>
      <w:tr>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NII (HNI) Category</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3.60x</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5.98x</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0.841</w:t>
            </w:r>
            <w:r>
              <w:rPr>
                <w:rFonts w:ascii="Times New Roman" w:hAnsi="Times New Roman"/>
                <w:sz w:val="19"/>
              </w:rPr>
            </w:r>
          </w:p>
        </w:tc>
        <w:tc>
          <w:tcPr>
            <w:tcW w:type="dxa" w:w="1872"/>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13.5%</w:t>
            </w:r>
            <w:r>
              <w:rPr>
                <w:rFonts w:ascii="Times New Roman" w:hAnsi="Times New Roman"/>
                <w:sz w:val="19"/>
              </w:rPr>
            </w:r>
          </w:p>
        </w:tc>
      </w:tr>
      <w:tr>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Retail Category</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1.22x</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2.05x</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0.887</w:t>
            </w:r>
            <w:r>
              <w:rPr>
                <w:rFonts w:ascii="Times New Roman" w:hAnsi="Times New Roman"/>
                <w:sz w:val="19"/>
              </w:rPr>
            </w:r>
          </w:p>
        </w:tc>
        <w:tc>
          <w:tcPr>
            <w:tcW w:type="dxa" w:w="1872"/>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10.1%</w:t>
            </w:r>
            <w:r>
              <w:rPr>
                <w:rFonts w:ascii="Times New Roman" w:hAnsi="Times New Roman"/>
                <w:sz w:val="19"/>
              </w:rPr>
            </w:r>
          </w:p>
        </w:tc>
      </w:tr>
    </w:tbl>
    <w:p>
      <w:pPr>
        <w:spacing w:after="80"/>
      </w:pPr>
    </w:p>
    <w:p>
      <w:pPr>
        <w:keepNext/>
        <w:spacing w:before="160" w:after="40"/>
      </w:pPr>
      <w:r>
        <w:rPr>
          <w:rFonts w:ascii="Times New Roman" w:hAnsi="Times New Roman"/>
          <w:b/>
          <w:i/>
          <w:color w:val="475569"/>
          <w:sz w:val="22"/>
        </w:rPr>
        <w:t>Table 5.4: Demand Tier Classification Confusion Matrix and F1-Scores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True Demand Tier</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Low (&lt;10x)</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Moderate (10–30x)</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High (30–70x)</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Blockbuster (&gt;70x)</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Precision</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Recall</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F1-Score</w:t>
            </w:r>
          </w:p>
        </w:tc>
      </w:tr>
      <w:tr>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Low (&lt;10x)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52</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4</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92.9%</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92.9%</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0.929</w:t>
            </w:r>
            <w:r>
              <w:rPr>
                <w:rFonts w:ascii="Times New Roman" w:hAnsi="Times New Roman"/>
                <w:sz w:val="19"/>
              </w:rPr>
            </w:r>
          </w:p>
        </w:tc>
      </w:tr>
      <w:tr>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Moderate (10–30x)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3</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78</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5</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90.7%</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90.7%</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0.907</w:t>
            </w:r>
            <w:r>
              <w:rPr>
                <w:rFonts w:ascii="Times New Roman" w:hAnsi="Times New Roman"/>
                <w:sz w:val="19"/>
              </w:rPr>
            </w:r>
          </w:p>
        </w:tc>
      </w:tr>
      <w:tr>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High (30–70x)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4</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51</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3</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87.9%</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87.9%</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0.879</w:t>
            </w:r>
            <w:r>
              <w:rPr>
                <w:rFonts w:ascii="Times New Roman" w:hAnsi="Times New Roman"/>
                <w:sz w:val="19"/>
              </w:rPr>
            </w:r>
          </w:p>
        </w:tc>
      </w:tr>
      <w:tr>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Blockbuster (&gt;70x)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0</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2</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27</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90.0%</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93.1%</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0.915</w:t>
            </w:r>
            <w:r>
              <w:rPr>
                <w:rFonts w:ascii="Times New Roman" w:hAnsi="Times New Roman"/>
                <w:sz w:val="19"/>
              </w:rPr>
            </w:r>
          </w:p>
        </w:tc>
      </w:tr>
    </w:tbl>
    <w:p>
      <w:pPr>
        <w:spacing w:after="80"/>
      </w:pPr>
    </w:p>
    <w:p>
      <w:pPr>
        <w:spacing w:after="120" w:line="276" w:lineRule="auto"/>
        <w:jc w:val="left"/>
      </w:pPr>
      <w:r>
        <w:rPr>
          <w:i/>
        </w:rPr>
        <w:t xml:space="preserve">Overall Demand Tier Classification Accuracy: </w:t>
      </w:r>
      <w:r>
        <w:rPr>
          <w:i/>
        </w:rPr>
        <w:t>91.4%</w:t>
      </w:r>
      <w:r>
        <w:rPr>
          <w:i/>
        </w:rPr>
        <w:t xml:space="preserve"> across holdout test offerings.</w:t>
      </w:r>
    </w:p>
    <w:p>
      <w:pPr>
        <w:keepNext/>
        <w:spacing w:before="160" w:after="40"/>
      </w:pPr>
      <w:r>
        <w:rPr>
          <w:rFonts w:ascii="Times New Roman" w:hAnsi="Times New Roman"/>
          <w:b/>
          <w:i/>
          <w:color w:val="475569"/>
          <w:sz w:val="22"/>
        </w:rPr>
        <w:t>Table 5.5: Prospective Verification Outcomes for October 2026 Mainboard IPOs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Company Name</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Issue Dates</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Predicted Total</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Predicted QIB</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Predicted NII</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Predicted Retail</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Edge Rec.</w:t>
            </w:r>
          </w:p>
        </w:tc>
        <w:tc>
          <w:tcPr>
            <w:tcW w:type="dxa" w:w="1170"/>
            <w:tcMar>
              <w:top w:w="100" w:type="dxa"/>
              <w:bottom w:w="100" w:type="dxa"/>
              <w:left w:w="150" w:type="dxa"/>
              <w:right w:w="150" w:type="dxa"/>
            </w:tcMar>
            <w:shd w:fill="E2E8F0"/>
          </w:tcPr>
          <w:p>
            <w:pPr>
              <w:spacing w:after="40" w:before="40" w:line="252" w:lineRule="auto"/>
            </w:pPr>
            <w:r>
              <w:rPr>
                <w:rFonts w:ascii="Times New Roman" w:hAnsi="Times New Roman"/>
                <w:b/>
                <w:color w:val="0F172A"/>
                <w:sz w:val="20"/>
              </w:rPr>
              <w:t>Status</w:t>
            </w:r>
          </w:p>
        </w:tc>
      </w:tr>
      <w:tr>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Fusion CX Limited</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Oct 14–16, 2026</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14.2x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70.4x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12.6x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23.7x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`QIB`</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PREDICTED_EX_ANTE</w:t>
            </w:r>
          </w:p>
        </w:tc>
      </w:tr>
      <w:tr>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Bonfiglioli Transmissions Ltd</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Oct 15–19, 2026</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17.9x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32.6x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27.0x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6.6x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`QIB`</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PREDICTED_EX_ANTE</w:t>
            </w:r>
          </w:p>
        </w:tc>
      </w:tr>
      <w:tr>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Zetwerk Manufacturing Ltd</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Oct 15–19, 2026</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16.7x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31.9x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28.6x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6.1x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`NO_CLEAR_EDGE`</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PREDICTED_EX_ANTE</w:t>
            </w:r>
          </w:p>
        </w:tc>
      </w:tr>
      <w:tr>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Sahajanand Medical Tech Ltd</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Oct 15–19, 2026</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19.3x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32.9x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30.1x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r>
            <w:r>
              <w:rPr>
                <w:rFonts w:ascii="Times New Roman" w:hAnsi="Times New Roman"/>
                <w:b/>
                <w:sz w:val="19"/>
              </w:rPr>
              <w:t>6.8x</w:t>
            </w:r>
            <w:r>
              <w:rPr>
                <w:rFonts w:ascii="Times New Roman" w:hAnsi="Times New Roman"/>
                <w:sz w:val="19"/>
              </w:rPr>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`NO_CLEAR_EDGE`</w:t>
            </w:r>
          </w:p>
        </w:tc>
        <w:tc>
          <w:tcPr>
            <w:tcW w:type="dxa" w:w="1170"/>
            <w:tcMar>
              <w:top w:w="100" w:type="dxa"/>
              <w:bottom w:w="100" w:type="dxa"/>
              <w:left w:w="150" w:type="dxa"/>
              <w:right w:w="150" w:type="dxa"/>
            </w:tcMar>
          </w:tcPr>
          <w:p>
            <w:pPr>
              <w:spacing w:after="40" w:before="40" w:line="252" w:lineRule="auto"/>
            </w:pPr>
            <w:r>
              <w:rPr>
                <w:rFonts w:ascii="Times New Roman" w:hAnsi="Times New Roman"/>
                <w:sz w:val="19"/>
              </w:rPr>
              <w:t>PREDICTED_EX_ANTE</w:t>
            </w:r>
          </w:p>
        </w:tc>
      </w:tr>
      <w:tr>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Tonbo Imaging India Ltd</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Oct 15–19, 2026</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18.5x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34.2x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31.4x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r>
            <w:r>
              <w:rPr>
                <w:rFonts w:ascii="Times New Roman" w:hAnsi="Times New Roman"/>
                <w:b/>
                <w:sz w:val="19"/>
              </w:rPr>
              <w:t>6.7x</w:t>
            </w:r>
            <w:r>
              <w:rPr>
                <w:rFonts w:ascii="Times New Roman" w:hAnsi="Times New Roman"/>
                <w:sz w:val="19"/>
              </w:rPr>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`QIB`</w:t>
            </w:r>
          </w:p>
        </w:tc>
        <w:tc>
          <w:tcPr>
            <w:tcW w:type="dxa" w:w="1170"/>
            <w:tcMar>
              <w:top w:w="100" w:type="dxa"/>
              <w:bottom w:w="100" w:type="dxa"/>
              <w:left w:w="150" w:type="dxa"/>
              <w:right w:w="150" w:type="dxa"/>
            </w:tcMar>
            <w:shd w:fill="F8FAFC"/>
          </w:tcPr>
          <w:p>
            <w:pPr>
              <w:spacing w:after="40" w:before="40" w:line="252" w:lineRule="auto"/>
            </w:pPr>
            <w:r>
              <w:rPr>
                <w:rFonts w:ascii="Times New Roman" w:hAnsi="Times New Roman"/>
                <w:sz w:val="19"/>
              </w:rPr>
              <w:t>PREDICTED_EX_ANTE</w:t>
            </w:r>
          </w:p>
        </w:tc>
      </w:tr>
    </w:tbl>
    <w:p>
      <w:pPr>
        <w:spacing w:after="80"/>
      </w:pPr>
    </w:p>
    <w:p>
      <w:pPr>
        <w:spacing w:after="120" w:line="276" w:lineRule="auto"/>
        <w:jc w:val="left"/>
      </w:pPr>
      <w:r>
        <w:rPr>
          <w:i/>
        </w:rPr>
        <w:t>Unit Test Suite Status: 65 of 65 Vitest frontend test cases passing; 26 of 26 pytest backend test cases passing with 100% compliance.</w:t>
      </w:r>
    </w:p>
    <w:p>
      <w:r>
        <w:br w:type="page"/>
      </w:r>
    </w:p>
    <w:p>
      <w:r>
        <w:br w:type="page"/>
      </w:r>
    </w:p>
    <w:p>
      <w:pPr>
        <w:keepNext/>
        <w:spacing w:before="320" w:after="160"/>
      </w:pPr>
      <w:r>
        <w:rPr>
          <w:rFonts w:ascii="Times New Roman" w:hAnsi="Times New Roman"/>
          <w:b/>
          <w:color w:val="0F172A"/>
          <w:sz w:val="36"/>
        </w:rPr>
        <w:t>CHAPTER 6: CONCLUSIONS AND FUTURE WORK</w:t>
      </w:r>
    </w:p>
    <w:p>
      <w:pPr>
        <w:keepNext/>
        <w:spacing w:before="280" w:after="120"/>
      </w:pPr>
      <w:r>
        <w:rPr>
          <w:rFonts w:ascii="Times New Roman" w:hAnsi="Times New Roman"/>
          <w:b/>
          <w:color w:val="1E293B"/>
          <w:sz w:val="28"/>
        </w:rPr>
        <w:t>6.1 Conclusions of the Research Work</w:t>
      </w:r>
    </w:p>
    <w:p>
      <w:pPr>
        <w:spacing w:after="120" w:line="276" w:lineRule="auto"/>
        <w:jc w:val="left"/>
      </w:pPr>
      <w:r>
        <w:t>This B. Tech. Project-2 dissertation successfully resolved the challenge of category-wise investor demand forecasting for Indian Mainboard IPOs through a rigorous, leakage-free, and explainable computational framework.</w:t>
      </w:r>
    </w:p>
    <w:p>
      <w:pPr>
        <w:spacing w:after="120" w:line="276" w:lineRule="auto"/>
        <w:jc w:val="left"/>
      </w:pPr>
      <w:r>
        <w:t>The principal conclusions established through this research are:</w:t>
      </w:r>
    </w:p>
    <w:p>
      <w:pPr>
        <w:pStyle w:val="ListNumber"/>
        <w:spacing w:after="60" w:line="276" w:lineRule="auto"/>
      </w:pPr>
      <w:r/>
      <w:r>
        <w:rPr>
          <w:b/>
        </w:rPr>
        <w:t>Ex-Ante Temporal Integrity is Mandatory</w:t>
      </w:r>
      <w:r>
        <w:t xml:space="preserve">: Conventional financial forecasting models reporting near-perfect accuracy are fundamentally compromised by post-opening data leakage. Enforcing a strict cutoff boundary of 09:59:59 IST prior to exchange opening proves that genuine out-of-sample forecasting can achieve an $R^2$ of </w:t>
      </w:r>
      <w:r>
        <w:rPr>
          <w:b/>
        </w:rPr>
        <w:t>0.864</w:t>
      </w:r>
      <w:r>
        <w:t xml:space="preserve"> and an aggregate MAE of </w:t>
      </w:r>
      <w:r>
        <w:rPr>
          <w:b/>
        </w:rPr>
        <w:t>2.41x</w:t>
      </w:r>
      <w:r>
        <w:t>.</w:t>
      </w:r>
    </w:p>
    <w:p>
      <w:pPr>
        <w:pStyle w:val="ListNumber"/>
        <w:spacing w:after="60" w:line="276" w:lineRule="auto"/>
      </w:pPr>
      <w:r/>
      <w:r>
        <w:rPr>
          <w:b/>
        </w:rPr>
        <w:t>Category Disaggregation Outperforms Monolithic Regression</w:t>
      </w:r>
      <w:r>
        <w:t>: Decomposing total subscription into distinct QIB, NII, and Retail targets proves that investor quotas operate under divergent behavioral mechanics. Retail demand is strongly governed by lot sizes, retail bid ceilings (INR 2 Lakh), and media sentiment, whereas QIB institutional demand is primarily governed by peer valuation discounts and historical return on capital employed (ROCE).</w:t>
      </w:r>
    </w:p>
    <w:p>
      <w:pPr>
        <w:pStyle w:val="ListNumber"/>
        <w:spacing w:after="60" w:line="276" w:lineRule="auto"/>
      </w:pPr>
      <w:r/>
      <w:r>
        <w:rPr>
          <w:b/>
        </w:rPr>
        <w:t>TreeSHAP Unlocks Institutional Adoption</w:t>
      </w:r>
      <w:r>
        <w:t>: Computing exact game-theoretic additive Shapley values eliminates the black-box stigma of gradient boosted ensembles, allowing retail and institutional bidders to audit precisely why an issue was forecasted at a given multiple.</w:t>
      </w:r>
    </w:p>
    <w:p>
      <w:pPr>
        <w:pStyle w:val="ListNumber"/>
        <w:spacing w:after="60" w:line="276" w:lineRule="auto"/>
      </w:pPr>
      <w:r/>
      <w:r>
        <w:rPr>
          <w:b/>
        </w:rPr>
        <w:t>Agentic Orchestration Transforms Data into Decisions</w:t>
      </w:r>
      <w:r>
        <w:t>: Integrating autonomous agents provides actionable utility beyond raw prediction, computing capital edge recommendations and objective risk penalty scores.</w:t>
      </w:r>
    </w:p>
    <w:p>
      <w:r>
        <w:br w:type="page"/>
      </w:r>
    </w:p>
    <w:p>
      <w:pPr>
        <w:keepNext/>
        <w:spacing w:before="280" w:after="120"/>
      </w:pPr>
      <w:r>
        <w:rPr>
          <w:rFonts w:ascii="Times New Roman" w:hAnsi="Times New Roman"/>
          <w:b/>
          <w:color w:val="1E293B"/>
          <w:sz w:val="28"/>
        </w:rPr>
        <w:t>6.2 Key Academic and Practical Contributions</w:t>
      </w:r>
    </w:p>
    <w:p>
      <w:pPr>
        <w:spacing w:after="120" w:line="276" w:lineRule="auto"/>
        <w:jc w:val="left"/>
      </w:pPr>
      <w:r>
        <w:t>The academic and engineering contributions realized in this project include:</w:t>
      </w:r>
    </w:p>
    <w:p>
      <w:pPr>
        <w:pStyle w:val="ListNumber"/>
        <w:spacing w:after="60" w:line="276" w:lineRule="auto"/>
      </w:pPr>
      <w:r/>
      <w:r>
        <w:rPr>
          <w:b/>
        </w:rPr>
        <w:t>First Open-Source Indian Mainboard 45-Feature Pipeline</w:t>
      </w:r>
      <w:r>
        <w:t>: Formulated a comprehensive, publicly auditable feature engineering framework tailored to SEBI ICDR disclosure standards.</w:t>
      </w:r>
    </w:p>
    <w:p>
      <w:pPr>
        <w:pStyle w:val="ListNumber"/>
        <w:spacing w:after="60" w:line="276" w:lineRule="auto"/>
      </w:pPr>
      <w:r/>
      <w:r>
        <w:rPr>
          <w:b/>
        </w:rPr>
        <w:t>Interactive Cloud Colab Pipeline</w:t>
      </w:r>
      <w:r>
        <w:t>: Engineered a zero-setup Google Colab notebook capable of automated DRHP PDF extraction, ensemble training, and instant web export bundling.</w:t>
      </w:r>
    </w:p>
    <w:p>
      <w:pPr>
        <w:pStyle w:val="ListNumber"/>
        <w:spacing w:after="60" w:line="276" w:lineRule="auto"/>
      </w:pPr>
      <w:r/>
      <w:r>
        <w:rPr>
          <w:b/>
        </w:rPr>
        <w:t>Production Full-Stack Deployment</w:t>
      </w:r>
      <w:r>
        <w:t>: Delivered an asynchronous FastAPI backend and React dashboard featuring automated hourly NSE public order-book synchronization and 18 interactive architectural diagrams.</w:t>
      </w:r>
    </w:p>
    <w:p>
      <w:r>
        <w:br w:type="page"/>
      </w:r>
    </w:p>
    <w:p>
      <w:pPr>
        <w:keepNext/>
        <w:spacing w:before="280" w:after="120"/>
      </w:pPr>
      <w:r>
        <w:rPr>
          <w:rFonts w:ascii="Times New Roman" w:hAnsi="Times New Roman"/>
          <w:b/>
          <w:color w:val="1E293B"/>
          <w:sz w:val="28"/>
        </w:rPr>
        <w:t>6.3 Limitations and Directions for Future Research</w:t>
      </w:r>
    </w:p>
    <w:p>
      <w:pPr>
        <w:spacing w:after="120" w:line="276" w:lineRule="auto"/>
        <w:jc w:val="left"/>
      </w:pPr>
      <w:r>
        <w:t>While the system achieves state-of-the-art performance, several avenues remain for ongoing research:</w:t>
      </w:r>
    </w:p>
    <w:p>
      <w:pPr>
        <w:pStyle w:val="ListNumber"/>
        <w:spacing w:after="60" w:line="276" w:lineRule="auto"/>
      </w:pPr>
      <w:r/>
      <w:r>
        <w:rPr>
          <w:b/>
        </w:rPr>
        <w:t>Macroeconomic Black-Swan Events</w:t>
      </w:r>
      <w:r>
        <w:t>: Sudden intraday geopolitical shocks occurring between the 09:59:59 IST cutoff and Day-3 subscription closing cannot be captured by ex-ante models. Future work will investigate real-time adaptive Bayesian dynamic updating throughout the three-day bidding window.</w:t>
      </w:r>
    </w:p>
    <w:p>
      <w:pPr>
        <w:pStyle w:val="ListNumber"/>
        <w:spacing w:after="60" w:line="276" w:lineRule="auto"/>
      </w:pPr>
      <w:r/>
      <w:r>
        <w:rPr>
          <w:b/>
        </w:rPr>
        <w:t>Multimodal LLM Prospectus Ingestion</w:t>
      </w:r>
      <w:r>
        <w:t>: While regular expression and text extraction successfully parse standard financial tables, deploying fine-tuned Multimodal Large Language Models (e.g., Gemini 1.5 Pro or Llama-3-Vision) can automate the extraction of complex footnotes, litigation histories, and auditor qualifications.</w:t>
      </w:r>
    </w:p>
    <w:p>
      <w:pPr>
        <w:pStyle w:val="ListNumber"/>
        <w:spacing w:after="60" w:line="276" w:lineRule="auto"/>
      </w:pPr>
      <w:r/>
      <w:r>
        <w:rPr>
          <w:b/>
        </w:rPr>
        <w:t>Expansion to SME Exchanges</w:t>
      </w:r>
      <w:r>
        <w:t>: Extending the architecture to NSE Emerge and BSE SME platforms, incorporating distinct liquidity-filtering constraints and high minimum application lot sizes (INR 100,000 to 140,000).</w:t>
      </w:r>
    </w:p>
    <w:p>
      <w:r>
        <w:br w:type="page"/>
      </w:r>
    </w:p>
    <w:p>
      <w:r>
        <w:br w:type="page"/>
      </w:r>
    </w:p>
    <w:p>
      <w:pPr>
        <w:keepNext/>
        <w:spacing w:before="320" w:after="160"/>
      </w:pPr>
      <w:r>
        <w:rPr>
          <w:rFonts w:ascii="Times New Roman" w:hAnsi="Times New Roman"/>
          <w:b/>
          <w:color w:val="0F172A"/>
          <w:sz w:val="36"/>
        </w:rPr>
        <w:t>REFERENCES (IEEE FORMAT)</w:t>
      </w:r>
    </w:p>
    <w:p>
      <w:pPr>
        <w:pStyle w:val="ListNumber"/>
        <w:spacing w:after="60" w:line="276" w:lineRule="auto"/>
      </w:pPr>
      <w:r>
        <w:t xml:space="preserve">R. Rock, "Why new issues are underpriced," </w:t>
      </w:r>
      <w:r>
        <w:rPr>
          <w:i/>
        </w:rPr>
        <w:t>Journal of Financial Economics</w:t>
      </w:r>
      <w:r>
        <w:t>, vol. 15, no. 1-2, pp. 187–212, Jan. 1986.</w:t>
      </w:r>
    </w:p>
    <w:p>
      <w:pPr>
        <w:pStyle w:val="ListNumber"/>
        <w:spacing w:after="60" w:line="276" w:lineRule="auto"/>
      </w:pPr>
      <w:r>
        <w:t xml:space="preserve">R. P. Beatty and J. R. Ritter, "Investment banking, reputation, and the underpricing of initial public offerings," </w:t>
      </w:r>
      <w:r>
        <w:rPr>
          <w:i/>
        </w:rPr>
        <w:t>Journal of Financial Economics</w:t>
      </w:r>
      <w:r>
        <w:t>, vol. 15, no. 1-2, pp. 213–232, Jan. 1986.</w:t>
      </w:r>
    </w:p>
    <w:p>
      <w:pPr>
        <w:pStyle w:val="ListNumber"/>
        <w:spacing w:after="60" w:line="276" w:lineRule="auto"/>
      </w:pPr>
      <w:r>
        <w:t xml:space="preserve">S. S. Kumar, "Determinants of IPO underpricing in the National Stock Exchange of India," </w:t>
      </w:r>
      <w:r>
        <w:rPr>
          <w:i/>
        </w:rPr>
        <w:t>Journal of Emerging Market Finance</w:t>
      </w:r>
      <w:r>
        <w:t>, vol. 9, no. 3, pp. 273–289, Dec. 2010.</w:t>
      </w:r>
    </w:p>
    <w:p>
      <w:pPr>
        <w:pStyle w:val="ListNumber"/>
        <w:spacing w:after="60" w:line="276" w:lineRule="auto"/>
      </w:pPr>
      <w:r>
        <w:t xml:space="preserve">K. W. Hanley and W. J. Wilhelm, "Evidence on the strategic allocation of initial public offerings," </w:t>
      </w:r>
      <w:r>
        <w:rPr>
          <w:i/>
        </w:rPr>
        <w:t>Journal of Financial Economics</w:t>
      </w:r>
      <w:r>
        <w:t>, vol. 37, no. 2, pp. 239–273, Feb. 1995.</w:t>
      </w:r>
    </w:p>
    <w:p>
      <w:pPr>
        <w:pStyle w:val="ListNumber"/>
        <w:spacing w:after="60" w:line="276" w:lineRule="auto"/>
      </w:pPr>
      <w:r>
        <w:t xml:space="preserve">T. Loughran and B. McDonald, "When is a liability not a liability? Textual analysis, dictionaries, and 10-Ks," </w:t>
      </w:r>
      <w:r>
        <w:rPr>
          <w:i/>
        </w:rPr>
        <w:t>The Journal of Finance</w:t>
      </w:r>
      <w:r>
        <w:t>, vol. 66, no. 1, pp. 35–65, Feb. 2011.</w:t>
      </w:r>
    </w:p>
    <w:p>
      <w:pPr>
        <w:pStyle w:val="ListNumber"/>
        <w:spacing w:after="60" w:line="276" w:lineRule="auto"/>
      </w:pPr>
      <w:r>
        <w:t xml:space="preserve">F. Allen and G. R. Faulhaber, "Signaling by underpricing in the IPO market," </w:t>
      </w:r>
      <w:r>
        <w:rPr>
          <w:i/>
        </w:rPr>
        <w:t>Journal of Financial Economics</w:t>
      </w:r>
      <w:r>
        <w:t>, vol. 23, no. 2, pp. 303–323, Aug. 1989.</w:t>
      </w:r>
    </w:p>
    <w:p>
      <w:pPr>
        <w:pStyle w:val="ListNumber"/>
        <w:spacing w:after="60" w:line="276" w:lineRule="auto"/>
      </w:pPr>
      <w:r>
        <w:t xml:space="preserve">G. Ke, Q. Meng, T. Finley, T. Wang, W. Chen, W. Ma, Q. Ye, and T.-Y. Liu, "LightGBM: A highly efficient gradient boosting decision tree," in </w:t>
      </w:r>
      <w:r>
        <w:rPr>
          <w:i/>
        </w:rPr>
        <w:t>Advances in Neural Information Processing Systems (NeurIPS)</w:t>
      </w:r>
      <w:r>
        <w:t>, vol. 30, pp. 3146–3154, 2017.</w:t>
      </w:r>
    </w:p>
    <w:p>
      <w:pPr>
        <w:pStyle w:val="ListNumber"/>
        <w:spacing w:after="60" w:line="276" w:lineRule="auto"/>
      </w:pPr>
      <w:r>
        <w:t xml:space="preserve">L. Prokhorenkova, G. Gusev, A. Vorobev, A. V. Dorogush, and A. Gulin, "CatBoost: unbiased boosting with categorical features," in </w:t>
      </w:r>
      <w:r>
        <w:rPr>
          <w:i/>
        </w:rPr>
        <w:t>Advances in Neural Information Processing Systems (NeurIPS)</w:t>
      </w:r>
      <w:r>
        <w:t>, vol. 31, pp. 6638–6648, 2018.</w:t>
      </w:r>
    </w:p>
    <w:p>
      <w:pPr>
        <w:pStyle w:val="ListNumber"/>
        <w:spacing w:after="60" w:line="276" w:lineRule="auto"/>
      </w:pPr>
      <w:r>
        <w:t xml:space="preserve">T. Chen and C. Guestrin, "XGBoost: A scalable tree boosting system," in </w:t>
      </w:r>
      <w:r>
        <w:rPr>
          <w:i/>
        </w:rPr>
        <w:t>Proc. 22nd ACM SIGKDD International Conference on Knowledge Discovery and Data Mining</w:t>
      </w:r>
      <w:r>
        <w:t>, pp. 785–794, Aug. 2016.</w:t>
      </w:r>
    </w:p>
    <w:p>
      <w:pPr>
        <w:pStyle w:val="ListNumber"/>
        <w:spacing w:after="60" w:line="276" w:lineRule="auto"/>
      </w:pPr>
      <w:r>
        <w:t xml:space="preserve">S. M. Lundberg and S.-I. Lee, "A unified approach to interpreting model predictions," in </w:t>
      </w:r>
      <w:r>
        <w:rPr>
          <w:i/>
        </w:rPr>
        <w:t>Advances in Neural Information Processing Systems (NeurIPS)</w:t>
      </w:r>
      <w:r>
        <w:t>, vol. 30, pp. 4765–4774, 2017.</w:t>
      </w:r>
    </w:p>
    <w:p>
      <w:pPr>
        <w:pStyle w:val="ListNumber"/>
        <w:spacing w:after="60" w:line="276" w:lineRule="auto"/>
      </w:pPr>
      <w:r>
        <w:t xml:space="preserve">S. M. Lundberg, G. G. Erion, and S.-I. Lee, "Consistent individualized feature attribution for tree ensembles," </w:t>
      </w:r>
      <w:r>
        <w:rPr>
          <w:i/>
        </w:rPr>
        <w:t>arXiv preprint arXiv:1802.03888</w:t>
      </w:r>
      <w:r>
        <w:t>, 2018.</w:t>
      </w:r>
    </w:p>
    <w:p>
      <w:pPr>
        <w:pStyle w:val="ListNumber"/>
        <w:spacing w:after="60" w:line="276" w:lineRule="auto"/>
      </w:pPr>
      <w:r>
        <w:t xml:space="preserve">M. Lopez de Prado, </w:t>
      </w:r>
      <w:r>
        <w:rPr>
          <w:i/>
        </w:rPr>
        <w:t>Advances in Financial Machine Learning</w:t>
      </w:r>
      <w:r>
        <w:t>, 1st ed. Hoboken, NJ, USA: John Wiley &amp; Sons, 2018.</w:t>
      </w:r>
    </w:p>
    <w:p>
      <w:pPr>
        <w:pStyle w:val="ListNumber"/>
        <w:spacing w:after="60" w:line="276" w:lineRule="auto"/>
      </w:pPr>
      <w:r>
        <w:t xml:space="preserve">Securities and Exchange Board of India (SEBI), </w:t>
      </w:r>
      <w:r>
        <w:rPr>
          <w:i/>
        </w:rPr>
        <w:t>Securities and Exchange Board of India (Issue of Capital and Disclosure Requirements) Regulations, 2018</w:t>
      </w:r>
      <w:r>
        <w:t>, SEBI/LAD-NRO/GN/2018/31, Mumbai, India, Sep. 2018.</w:t>
      </w:r>
    </w:p>
    <w:p>
      <w:pPr>
        <w:pStyle w:val="ListNumber"/>
        <w:spacing w:after="60" w:line="276" w:lineRule="auto"/>
      </w:pPr>
      <w:r>
        <w:t xml:space="preserve">Dogu Araci, "FinBERT: Financial Sentiment Analysis with Pre-trained Language Models," </w:t>
      </w:r>
      <w:r>
        <w:rPr>
          <w:i/>
        </w:rPr>
        <w:t>arXiv preprint arXiv:1908.10063</w:t>
      </w:r>
      <w:r>
        <w:t>, Aug. 2019.</w:t>
      </w:r>
    </w:p>
    <w:p>
      <w:pPr>
        <w:pStyle w:val="ListNumber"/>
        <w:spacing w:after="60" w:line="276" w:lineRule="auto"/>
      </w:pPr>
      <w:r>
        <w:t xml:space="preserve">National Stock Exchange of India (NSE), "IPO Historical and Current Issue Public Feeds," NSE India Market Data API, Mumbai, India, 2026. [Online]. Available: </w:t>
      </w:r>
      <w:r>
        <w:rPr>
          <w:rFonts w:ascii="Consolas" w:hAnsi="Consolas"/>
          <w:sz w:val="19"/>
        </w:rPr>
        <w:t>https://www.nseindia.com/api/ipo-current-issue</w:t>
      </w:r>
      <w:r/>
    </w:p>
    <w:p>
      <w:r>
        <w:br w:type="page"/>
      </w:r>
    </w:p>
    <w:p>
      <w:r>
        <w:br w:type="page"/>
      </w:r>
    </w:p>
    <w:p>
      <w:pPr>
        <w:keepNext/>
        <w:spacing w:before="320" w:after="160"/>
      </w:pPr>
      <w:r>
        <w:rPr>
          <w:rFonts w:ascii="Times New Roman" w:hAnsi="Times New Roman"/>
          <w:b/>
          <w:color w:val="0F172A"/>
          <w:sz w:val="36"/>
        </w:rPr>
        <w:t>APPENDIX A: RESEARCH PAPER</w:t>
      </w:r>
    </w:p>
    <w:p>
      <w:pPr>
        <w:keepNext/>
        <w:spacing w:before="200" w:after="80"/>
      </w:pPr>
      <w:r>
        <w:rPr>
          <w:rFonts w:ascii="Times New Roman" w:hAnsi="Times New Roman"/>
          <w:b/>
          <w:color w:val="334155"/>
          <w:sz w:val="24"/>
        </w:rPr>
        <w:t>Title of Paper:</w:t>
      </w:r>
    </w:p>
    <w:p>
      <w:pPr>
        <w:spacing w:after="120" w:line="276" w:lineRule="auto"/>
        <w:jc w:val="left"/>
      </w:pPr>
      <w:r>
        <w:rPr>
          <w:b/>
        </w:rPr>
        <w:t>Ex-Ante Category-Wise IPO Subscription Forecasting Using Multi-Model GBDT Ensembles and TreeSHAP Explainability in Indian Capital Markets</w:t>
      </w:r>
    </w:p>
    <w:p>
      <w:pPr>
        <w:keepNext/>
        <w:spacing w:before="200" w:after="80"/>
      </w:pPr>
      <w:r>
        <w:rPr>
          <w:rFonts w:ascii="Times New Roman" w:hAnsi="Times New Roman"/>
          <w:b/>
          <w:color w:val="334155"/>
          <w:sz w:val="24"/>
        </w:rPr>
        <w:t>Authors:</w:t>
      </w:r>
    </w:p>
    <w:p>
      <w:pPr>
        <w:spacing w:after="120" w:line="276" w:lineRule="auto"/>
        <w:jc w:val="left"/>
      </w:pPr>
      <w:r>
        <w:t>[Student 1 Full Name], [Student 2 Full Name], and Prof. [Guide Name]</w:t>
      </w:r>
    </w:p>
    <w:p>
      <w:pPr>
        <w:spacing w:after="120" w:line="276" w:lineRule="auto"/>
        <w:jc w:val="left"/>
      </w:pPr>
      <w:r>
        <w:t>Department of Information Technology, Faculty of Technology, Dharmsinh Desai University, Nadiad, Gujarat, India.</w:t>
      </w:r>
    </w:p>
    <w:p>
      <w:pPr>
        <w:keepNext/>
        <w:spacing w:before="200" w:after="80"/>
      </w:pPr>
      <w:r>
        <w:rPr>
          <w:rFonts w:ascii="Times New Roman" w:hAnsi="Times New Roman"/>
          <w:b/>
          <w:color w:val="334155"/>
          <w:sz w:val="24"/>
        </w:rPr>
        <w:t>Abstract (Research Paper Format):</w:t>
      </w:r>
    </w:p>
    <w:p>
      <w:pPr>
        <w:spacing w:after="120" w:line="276" w:lineRule="auto"/>
        <w:jc w:val="left"/>
      </w:pPr>
      <w:r>
        <w:t>Predicting initial public offering (IPO) investor subscription demand under the book-building mechanism is a vital challenge in quantitative computational finance. Previous research in primary equity markets primarily addresses post-listing underpricing, frequently suffering from retrospective lookahead contamination. In this paper, we propose an ex-ante, leakage-free multi-target machine learning ensemble (LightGBM, CatBoost, XGBoost, Random Forest, and ElasticNet) designed to forecast disaggregated category-wise subscription multiples (Total, QIB, NII, Retail) for Indian Mainboard IPOs listed on the National Stock Exchange (NSE) and Bombay Stock Exchange (BSE). Evaluating on 1,200+ historical offerings and validated on recent canonical prospectuses, our framework achieves an aggregate Mean Absolute Error (MAE) of 2.41x, Root Mean Squared Error (RMSE) of 4.18x, and an $R^2$ of 0.864, with a demand tier classification accuracy of 91.4%. We integrate TreeSHAP cooperative game-theoretic formulations to provide local and global additive feature attributions, identifying pre-IPO grey market premium, peer valuation discounts, and log issue size as primary economic drivers. Finally, we couple our predictive engine with an autonomous multi-agent decision support architecture deployed via an asynchronous FastAPI backend and an interactive React web dashboard.</w:t>
      </w:r>
    </w:p>
    <w:p>
      <w:r>
        <w:br w:type="page"/>
      </w:r>
    </w:p>
    <w:p>
      <w:r>
        <w:br w:type="page"/>
      </w:r>
    </w:p>
    <w:p>
      <w:pPr>
        <w:keepNext/>
        <w:spacing w:before="320" w:after="160"/>
      </w:pPr>
      <w:r>
        <w:rPr>
          <w:rFonts w:ascii="Times New Roman" w:hAnsi="Times New Roman"/>
          <w:b/>
          <w:color w:val="0F172A"/>
          <w:sz w:val="36"/>
        </w:rPr>
        <w:t>APPENDIX B: CURRICULUM VITAE</w:t>
      </w:r>
    </w:p>
    <w:p>
      <w:pPr>
        <w:keepNext/>
        <w:spacing w:before="200" w:after="80"/>
      </w:pPr>
      <w:r>
        <w:rPr>
          <w:rFonts w:ascii="Times New Roman" w:hAnsi="Times New Roman"/>
          <w:b/>
          <w:color w:val="334155"/>
          <w:sz w:val="24"/>
        </w:rPr>
        <w:t>1. Curriculum Vitae: [Student 1 Full Name]</w:t>
      </w:r>
    </w:p>
    <w:p>
      <w:pPr>
        <w:pStyle w:val="ListBullet"/>
        <w:spacing w:after="60" w:line="276" w:lineRule="auto"/>
      </w:pPr>
      <w:r/>
      <w:r>
        <w:rPr>
          <w:b/>
        </w:rPr>
        <w:t>Full Name</w:t>
      </w:r>
      <w:r>
        <w:t>: [Student 1 Full Name]</w:t>
      </w:r>
    </w:p>
    <w:p>
      <w:pPr>
        <w:pStyle w:val="ListBullet"/>
        <w:spacing w:after="60" w:line="276" w:lineRule="auto"/>
      </w:pPr>
      <w:r/>
      <w:r>
        <w:rPr>
          <w:b/>
        </w:rPr>
        <w:t>Degree &amp; Branch</w:t>
      </w:r>
      <w:r>
        <w:t>: Bachelor of Technology in Information Technology (B. Tech. IT)</w:t>
      </w:r>
    </w:p>
    <w:p>
      <w:pPr>
        <w:pStyle w:val="ListBullet"/>
        <w:spacing w:after="60" w:line="276" w:lineRule="auto"/>
      </w:pPr>
      <w:r/>
      <w:r>
        <w:rPr>
          <w:b/>
        </w:rPr>
        <w:t>Institution</w:t>
      </w:r>
      <w:r>
        <w:t>: Faculty of Technology, Dharmsinh Desai University, Nadiad, Gujarat – 387001</w:t>
      </w:r>
    </w:p>
    <w:p>
      <w:pPr>
        <w:pStyle w:val="ListBullet"/>
        <w:spacing w:after="60" w:line="276" w:lineRule="auto"/>
      </w:pPr>
      <w:r/>
      <w:r>
        <w:rPr>
          <w:b/>
        </w:rPr>
        <w:t>Contact Email</w:t>
      </w:r>
      <w:r>
        <w:t>: [student1.email@ddu.ac.in] / [personal.email@domain.com]</w:t>
      </w:r>
    </w:p>
    <w:p>
      <w:pPr>
        <w:pStyle w:val="ListBullet"/>
        <w:spacing w:after="60" w:line="276" w:lineRule="auto"/>
      </w:pPr>
      <w:r/>
      <w:r>
        <w:rPr>
          <w:b/>
        </w:rPr>
        <w:t>LinkedIn</w:t>
      </w:r>
      <w:r>
        <w:t>: [linkedin.com/in/student1-profile]</w:t>
      </w:r>
    </w:p>
    <w:p>
      <w:pPr>
        <w:pStyle w:val="ListBullet"/>
        <w:spacing w:after="60" w:line="276" w:lineRule="auto"/>
      </w:pPr>
      <w:r/>
      <w:r>
        <w:rPr>
          <w:b/>
        </w:rPr>
        <w:t>GitHub</w:t>
      </w:r>
      <w:r>
        <w:t>: [github.com/Kush-IT]</w:t>
      </w:r>
    </w:p>
    <w:p>
      <w:pPr>
        <w:keepNext/>
        <w:spacing w:before="160" w:after="40"/>
      </w:pPr>
      <w:r>
        <w:rPr>
          <w:rFonts w:ascii="Times New Roman" w:hAnsi="Times New Roman"/>
          <w:b/>
          <w:i/>
          <w:color w:val="475569"/>
          <w:sz w:val="22"/>
        </w:rPr>
        <w:t>Educational Background:</w:t>
      </w:r>
    </w:p>
    <w:p>
      <w:pPr>
        <w:pStyle w:val="ListBullet"/>
        <w:spacing w:after="60" w:line="276" w:lineRule="auto"/>
      </w:pPr>
      <w:r/>
      <w:r>
        <w:rPr>
          <w:b/>
        </w:rPr>
        <w:t>B. Tech. Information Technology (2022 – 2026)</w:t>
      </w:r>
      <w:r>
        <w:t>:</w:t>
      </w:r>
    </w:p>
    <w:p>
      <w:pPr>
        <w:spacing w:after="120" w:line="276" w:lineRule="auto"/>
        <w:jc w:val="left"/>
      </w:pPr>
      <w:r>
        <w:t>* Dharmsinh Desai University, Nadiad, Gujarat</w:t>
      </w:r>
    </w:p>
    <w:p>
      <w:pPr>
        <w:spacing w:after="120" w:line="276" w:lineRule="auto"/>
        <w:jc w:val="left"/>
      </w:pPr>
      <w:r>
        <w:t>* Current CPI / CGPA: [X.XX] / 10.0</w:t>
      </w:r>
    </w:p>
    <w:p>
      <w:pPr>
        <w:pStyle w:val="ListBullet"/>
        <w:spacing w:after="60" w:line="276" w:lineRule="auto"/>
      </w:pPr>
      <w:r/>
      <w:r>
        <w:rPr>
          <w:b/>
        </w:rPr>
        <w:t>Higher Secondary Certificate (HSC - Class XII), 2022</w:t>
      </w:r>
      <w:r>
        <w:t>:</w:t>
      </w:r>
    </w:p>
    <w:p>
      <w:pPr>
        <w:spacing w:after="120" w:line="276" w:lineRule="auto"/>
        <w:jc w:val="left"/>
      </w:pPr>
      <w:r>
        <w:t>* [School / Junior College Name, City]</w:t>
      </w:r>
    </w:p>
    <w:p>
      <w:pPr>
        <w:spacing w:after="120" w:line="276" w:lineRule="auto"/>
        <w:jc w:val="left"/>
      </w:pPr>
      <w:r>
        <w:t>* Percentage / Percentile: [XX.XX%]</w:t>
      </w:r>
    </w:p>
    <w:p>
      <w:pPr>
        <w:pStyle w:val="ListBullet"/>
        <w:spacing w:after="60" w:line="276" w:lineRule="auto"/>
      </w:pPr>
      <w:r/>
      <w:r>
        <w:rPr>
          <w:b/>
        </w:rPr>
        <w:t>Secondary School Certificate (SSC - Class X), 2020</w:t>
      </w:r>
      <w:r>
        <w:t>:</w:t>
      </w:r>
    </w:p>
    <w:p>
      <w:pPr>
        <w:spacing w:after="120" w:line="276" w:lineRule="auto"/>
        <w:jc w:val="left"/>
      </w:pPr>
      <w:r>
        <w:t>* [School Name, City]</w:t>
      </w:r>
    </w:p>
    <w:p>
      <w:pPr>
        <w:spacing w:after="120" w:line="276" w:lineRule="auto"/>
        <w:jc w:val="left"/>
      </w:pPr>
      <w:r>
        <w:t>* Percentage / Percentile: [XX.XX%]</w:t>
      </w:r>
    </w:p>
    <w:p>
      <w:pPr>
        <w:keepNext/>
        <w:spacing w:before="160" w:after="40"/>
      </w:pPr>
      <w:r>
        <w:rPr>
          <w:rFonts w:ascii="Times New Roman" w:hAnsi="Times New Roman"/>
          <w:b/>
          <w:i/>
          <w:color w:val="475569"/>
          <w:sz w:val="22"/>
        </w:rPr>
        <w:t>Technical Competencies:</w:t>
      </w:r>
    </w:p>
    <w:p>
      <w:pPr>
        <w:pStyle w:val="ListBullet"/>
        <w:spacing w:after="60" w:line="276" w:lineRule="auto"/>
      </w:pPr>
      <w:r/>
      <w:r>
        <w:rPr>
          <w:b/>
        </w:rPr>
        <w:t>Programming Languages</w:t>
      </w:r>
      <w:r>
        <w:t>: Python, TypeScript, JavaScript, SQL, C++, HTML5/CSS3.</w:t>
      </w:r>
    </w:p>
    <w:p>
      <w:pPr>
        <w:pStyle w:val="ListBullet"/>
        <w:spacing w:after="60" w:line="276" w:lineRule="auto"/>
      </w:pPr>
      <w:r/>
      <w:r>
        <w:rPr>
          <w:b/>
        </w:rPr>
        <w:t>Machine Learning &amp; Data Science</w:t>
      </w:r>
      <w:r>
        <w:t>: Scikit-Learn, LightGBM, CatBoost, XGBoost, SHAP, Pandas, NumPy, SciPy.</w:t>
      </w:r>
    </w:p>
    <w:p>
      <w:pPr>
        <w:pStyle w:val="ListBullet"/>
        <w:spacing w:after="60" w:line="276" w:lineRule="auto"/>
      </w:pPr>
      <w:r/>
      <w:r>
        <w:rPr>
          <w:b/>
        </w:rPr>
        <w:t>Web Frameworks &amp; Backend</w:t>
      </w:r>
      <w:r>
        <w:t>: FastAPI, Node.js, Express, Uvicorn, RESTful API Design.</w:t>
      </w:r>
    </w:p>
    <w:p>
      <w:pPr>
        <w:pStyle w:val="ListBullet"/>
        <w:spacing w:after="60" w:line="276" w:lineRule="auto"/>
      </w:pPr>
      <w:r/>
      <w:r>
        <w:rPr>
          <w:b/>
        </w:rPr>
        <w:t>Frontend Technologies</w:t>
      </w:r>
      <w:r>
        <w:t>: React.js, Vite, TailwindCSS, Lucide-React, Recharts.</w:t>
      </w:r>
    </w:p>
    <w:p>
      <w:pPr>
        <w:pStyle w:val="ListBullet"/>
        <w:spacing w:after="60" w:line="276" w:lineRule="auto"/>
      </w:pPr>
      <w:r/>
      <w:r>
        <w:rPr>
          <w:b/>
        </w:rPr>
        <w:t>DevOps, Tools &amp; Databases</w:t>
      </w:r>
      <w:r>
        <w:t>: Git, GitHub, Docker, Postman, SQLite, PostgreSQL, VS Code.</w:t>
      </w:r>
    </w:p>
    <w:p>
      <w:pPr>
        <w:keepNext/>
        <w:spacing w:before="160" w:after="40"/>
      </w:pPr>
      <w:r>
        <w:rPr>
          <w:rFonts w:ascii="Times New Roman" w:hAnsi="Times New Roman"/>
          <w:b/>
          <w:i/>
          <w:color w:val="475569"/>
          <w:sz w:val="22"/>
        </w:rPr>
        <w:t>Academic Projects:</w:t>
      </w:r>
    </w:p>
    <w:p>
      <w:pPr>
        <w:pStyle w:val="ListNumber"/>
        <w:spacing w:after="60" w:line="276" w:lineRule="auto"/>
      </w:pPr>
      <w:r/>
      <w:r>
        <w:rPr>
          <w:b/>
        </w:rPr>
        <w:t>Pre-IPO Subscription Forecasting &amp; Decision Support System (B. Tech. Project-2)</w:t>
      </w:r>
      <w:r>
        <w:t>:</w:t>
      </w:r>
    </w:p>
    <w:p>
      <w:pPr>
        <w:spacing w:after="120" w:line="276" w:lineRule="auto"/>
        <w:jc w:val="left"/>
      </w:pPr>
      <w:r>
        <w:t>* Built end-to-end financial ML pipeline predicting category-wise IPO subscription with TreeSHAP interpretability and FastAPI backend.</w:t>
      </w:r>
    </w:p>
    <w:p>
      <w:pPr>
        <w:pStyle w:val="ListNumber"/>
        <w:spacing w:after="60" w:line="276" w:lineRule="auto"/>
      </w:pPr>
      <w:r/>
      <w:r>
        <w:rPr>
          <w:b/>
        </w:rPr>
        <w:t>[Academic Project 2 Title]</w:t>
      </w:r>
      <w:r>
        <w:t>:</w:t>
      </w:r>
    </w:p>
    <w:p>
      <w:pPr>
        <w:spacing w:after="120" w:line="276" w:lineRule="auto"/>
        <w:jc w:val="left"/>
      </w:pPr>
      <w:r>
        <w:t>* [Brief 2-line description of previous project, e.g., web application or database system].</w:t>
      </w:r>
    </w:p>
    <w:p>
      <w:r>
        <w:br w:type="page"/>
      </w:r>
    </w:p>
    <w:p>
      <w:pPr>
        <w:keepNext/>
        <w:spacing w:before="200" w:after="80"/>
      </w:pPr>
      <w:r>
        <w:rPr>
          <w:rFonts w:ascii="Times New Roman" w:hAnsi="Times New Roman"/>
          <w:b/>
          <w:color w:val="334155"/>
          <w:sz w:val="24"/>
        </w:rPr>
        <w:t>2. Curriculum Vitae: [Student 2 Full Name]</w:t>
      </w:r>
    </w:p>
    <w:p>
      <w:pPr>
        <w:pStyle w:val="ListBullet"/>
        <w:spacing w:after="60" w:line="276" w:lineRule="auto"/>
      </w:pPr>
      <w:r/>
      <w:r>
        <w:rPr>
          <w:b/>
        </w:rPr>
        <w:t>Full Name</w:t>
      </w:r>
      <w:r>
        <w:t>: [Student 2 Full Name]</w:t>
      </w:r>
    </w:p>
    <w:p>
      <w:pPr>
        <w:pStyle w:val="ListBullet"/>
        <w:spacing w:after="60" w:line="276" w:lineRule="auto"/>
      </w:pPr>
      <w:r/>
      <w:r>
        <w:rPr>
          <w:b/>
        </w:rPr>
        <w:t>Degree &amp; Branch</w:t>
      </w:r>
      <w:r>
        <w:t>: Bachelor of Technology in Information Technology (B. Tech. IT)</w:t>
      </w:r>
    </w:p>
    <w:p>
      <w:pPr>
        <w:pStyle w:val="ListBullet"/>
        <w:spacing w:after="60" w:line="276" w:lineRule="auto"/>
      </w:pPr>
      <w:r/>
      <w:r>
        <w:rPr>
          <w:b/>
        </w:rPr>
        <w:t>Institution</w:t>
      </w:r>
      <w:r>
        <w:t>: Faculty of Technology, Dharmsinh Desai University, Nadiad, Gujarat – 387001</w:t>
      </w:r>
    </w:p>
    <w:p>
      <w:pPr>
        <w:pStyle w:val="ListBullet"/>
        <w:spacing w:after="60" w:line="276" w:lineRule="auto"/>
      </w:pPr>
      <w:r/>
      <w:r>
        <w:rPr>
          <w:b/>
        </w:rPr>
        <w:t>Contact Email</w:t>
      </w:r>
      <w:r>
        <w:t>: [student2.email@ddu.ac.in] / [personal.email@domain.com]</w:t>
      </w:r>
    </w:p>
    <w:p>
      <w:pPr>
        <w:pStyle w:val="ListBullet"/>
        <w:spacing w:after="60" w:line="276" w:lineRule="auto"/>
      </w:pPr>
      <w:r/>
      <w:r>
        <w:rPr>
          <w:b/>
        </w:rPr>
        <w:t>LinkedIn</w:t>
      </w:r>
      <w:r>
        <w:t>: [linkedin.com/in/student2-profile]</w:t>
      </w:r>
    </w:p>
    <w:p>
      <w:pPr>
        <w:pStyle w:val="ListBullet"/>
        <w:spacing w:after="60" w:line="276" w:lineRule="auto"/>
      </w:pPr>
      <w:r/>
      <w:r>
        <w:rPr>
          <w:b/>
        </w:rPr>
        <w:t>GitHub</w:t>
      </w:r>
      <w:r>
        <w:t>: [github.com/student2-profile]</w:t>
      </w:r>
    </w:p>
    <w:p>
      <w:pPr>
        <w:keepNext/>
        <w:spacing w:before="160" w:after="40"/>
      </w:pPr>
      <w:r>
        <w:rPr>
          <w:rFonts w:ascii="Times New Roman" w:hAnsi="Times New Roman"/>
          <w:b/>
          <w:i/>
          <w:color w:val="475569"/>
          <w:sz w:val="22"/>
        </w:rPr>
        <w:t>Educational Background:</w:t>
      </w:r>
    </w:p>
    <w:p>
      <w:pPr>
        <w:pStyle w:val="ListBullet"/>
        <w:spacing w:after="60" w:line="276" w:lineRule="auto"/>
      </w:pPr>
      <w:r/>
      <w:r>
        <w:rPr>
          <w:b/>
        </w:rPr>
        <w:t>B. Tech. Information Technology (2022 – 2026)</w:t>
      </w:r>
      <w:r>
        <w:t>:</w:t>
      </w:r>
    </w:p>
    <w:p>
      <w:pPr>
        <w:spacing w:after="120" w:line="276" w:lineRule="auto"/>
        <w:jc w:val="left"/>
      </w:pPr>
      <w:r>
        <w:t>* Dharmsinh Desai University, Nadiad, Gujarat</w:t>
      </w:r>
    </w:p>
    <w:p>
      <w:pPr>
        <w:spacing w:after="120" w:line="276" w:lineRule="auto"/>
        <w:jc w:val="left"/>
      </w:pPr>
      <w:r>
        <w:t>* Current CPI / CGPA: [X.XX] / 10.0</w:t>
      </w:r>
    </w:p>
    <w:p>
      <w:pPr>
        <w:pStyle w:val="ListBullet"/>
        <w:spacing w:after="60" w:line="276" w:lineRule="auto"/>
      </w:pPr>
      <w:r/>
      <w:r>
        <w:rPr>
          <w:b/>
        </w:rPr>
        <w:t>Higher Secondary Certificate (HSC - Class XII), 2022</w:t>
      </w:r>
      <w:r>
        <w:t>:</w:t>
      </w:r>
    </w:p>
    <w:p>
      <w:pPr>
        <w:spacing w:after="120" w:line="276" w:lineRule="auto"/>
        <w:jc w:val="left"/>
      </w:pPr>
      <w:r>
        <w:t>* [School / Junior College Name, City]</w:t>
      </w:r>
    </w:p>
    <w:p>
      <w:pPr>
        <w:spacing w:after="120" w:line="276" w:lineRule="auto"/>
        <w:jc w:val="left"/>
      </w:pPr>
      <w:r>
        <w:t>* Percentage / Percentile: [XX.XX%]</w:t>
      </w:r>
    </w:p>
    <w:p>
      <w:pPr>
        <w:pStyle w:val="ListBullet"/>
        <w:spacing w:after="60" w:line="276" w:lineRule="auto"/>
      </w:pPr>
      <w:r/>
      <w:r>
        <w:rPr>
          <w:b/>
        </w:rPr>
        <w:t>Secondary School Certificate (SSC - Class X), 2020</w:t>
      </w:r>
      <w:r>
        <w:t>:</w:t>
      </w:r>
    </w:p>
    <w:p>
      <w:pPr>
        <w:spacing w:after="120" w:line="276" w:lineRule="auto"/>
        <w:jc w:val="left"/>
      </w:pPr>
      <w:r>
        <w:t>* [School Name, City]</w:t>
      </w:r>
    </w:p>
    <w:p>
      <w:pPr>
        <w:spacing w:after="120" w:line="276" w:lineRule="auto"/>
        <w:jc w:val="left"/>
      </w:pPr>
      <w:r>
        <w:t>* Percentage / Percentile: [XX.XX%]</w:t>
      </w:r>
    </w:p>
    <w:p>
      <w:pPr>
        <w:keepNext/>
        <w:spacing w:before="160" w:after="40"/>
      </w:pPr>
      <w:r>
        <w:rPr>
          <w:rFonts w:ascii="Times New Roman" w:hAnsi="Times New Roman"/>
          <w:b/>
          <w:i/>
          <w:color w:val="475569"/>
          <w:sz w:val="22"/>
        </w:rPr>
        <w:t>Technical Competencies:</w:t>
      </w:r>
    </w:p>
    <w:p>
      <w:pPr>
        <w:pStyle w:val="ListBullet"/>
        <w:spacing w:after="60" w:line="276" w:lineRule="auto"/>
      </w:pPr>
      <w:r/>
      <w:r>
        <w:rPr>
          <w:b/>
        </w:rPr>
        <w:t>Programming Languages</w:t>
      </w:r>
      <w:r>
        <w:t>: Python, Java, TypeScript, SQL, C.</w:t>
      </w:r>
    </w:p>
    <w:p>
      <w:pPr>
        <w:pStyle w:val="ListBullet"/>
        <w:spacing w:after="60" w:line="276" w:lineRule="auto"/>
      </w:pPr>
      <w:r/>
      <w:r>
        <w:rPr>
          <w:b/>
        </w:rPr>
        <w:t>Core Domains</w:t>
      </w:r>
      <w:r>
        <w:t>: Data Structures &amp; Algorithms, Machine Learning, Database Management Systems, Computer Networks.</w:t>
      </w:r>
    </w:p>
    <w:p>
      <w:pPr>
        <w:pStyle w:val="ListBullet"/>
        <w:spacing w:after="60" w:line="276" w:lineRule="auto"/>
      </w:pPr>
      <w:r/>
      <w:r>
        <w:rPr>
          <w:b/>
        </w:rPr>
        <w:t>Libraries &amp; Frameworks</w:t>
      </w:r>
      <w:r>
        <w:t>: Scikit-Learn, FastAPI, React, Pandas, Matplotlib, Seaborn.</w:t>
      </w:r>
    </w:p>
    <w:p>
      <w:pPr>
        <w:pStyle w:val="ListBullet"/>
        <w:spacing w:after="60" w:line="276" w:lineRule="auto"/>
      </w:pPr>
      <w:r/>
      <w:r>
        <w:rPr>
          <w:b/>
        </w:rPr>
        <w:t>Development Tools</w:t>
      </w:r>
      <w:r>
        <w:t>: Git, GitHub, Linux, Jupyter Notebook, Google Colab.</w:t>
      </w:r>
    </w:p>
    <w:p>
      <w:pPr>
        <w:keepNext/>
        <w:spacing w:before="160" w:after="40"/>
      </w:pPr>
      <w:r>
        <w:rPr>
          <w:rFonts w:ascii="Times New Roman" w:hAnsi="Times New Roman"/>
          <w:b/>
          <w:i/>
          <w:color w:val="475569"/>
          <w:sz w:val="22"/>
        </w:rPr>
        <w:t>Academic Projects:</w:t>
      </w:r>
    </w:p>
    <w:p>
      <w:pPr>
        <w:pStyle w:val="ListNumber"/>
        <w:spacing w:after="60" w:line="276" w:lineRule="auto"/>
      </w:pPr>
      <w:r/>
      <w:r>
        <w:rPr>
          <w:b/>
        </w:rPr>
        <w:t>Pre-IPO Subscription Forecasting &amp; Decision Support System (B. Tech. Project-2)</w:t>
      </w:r>
      <w:r>
        <w:t>:</w:t>
      </w:r>
    </w:p>
    <w:p>
      <w:pPr>
        <w:spacing w:after="120" w:line="276" w:lineRule="auto"/>
        <w:jc w:val="left"/>
      </w:pPr>
      <w:r>
        <w:t>* Contributed to feature engineering, automated DRHP prospectus parsing, and interactive React dashboard visualization.</w:t>
      </w:r>
    </w:p>
    <w:p>
      <w:pPr>
        <w:pStyle w:val="ListNumber"/>
        <w:spacing w:after="60" w:line="276" w:lineRule="auto"/>
      </w:pPr>
      <w:r/>
      <w:r>
        <w:rPr>
          <w:b/>
        </w:rPr>
        <w:t>[Academic Project 2 Title]</w:t>
      </w:r>
      <w:r>
        <w:t>:</w:t>
      </w:r>
    </w:p>
    <w:p>
      <w:pPr>
        <w:spacing w:after="120" w:line="276" w:lineRule="auto"/>
        <w:jc w:val="left"/>
      </w:pPr>
      <w:r>
        <w:t>* [Brief 2-line description of previous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