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Berkeley Round 1 2026 — RFD</w:t>
      </w:r>
    </w:p>
    <w:p>
      <w:r>
        <w:rPr>
          <w:b/>
          <w:bCs/>
        </w:rPr>
        <w:t xml:space="preserve">Event: Public Forum (technical/circuit style)  |  Tournament: Berkeley  |  Round: Round 1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'Berkeley Round 1 2026.xlsx' (companion flow tabs: AFF, NEG).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Great round! Voted neg off of embracing the abject.</w:t>
      </w:r>
    </w:p>
    <w:p>
      <w:r>
        <w:t xml:space="preserve">1NC - Great shell!</w:t>
      </w:r>
    </w:p>
    <w:p>
      <w:r>
        <w:t xml:space="preserve">1NR - Very clear and organized. Made the right frontlines and happy with the new links.</w:t>
      </w:r>
    </w:p>
    <w:p>
      <w:r>
        <w:t xml:space="preserve">Sum - Solid speech. Consider stating that they’ve conceded their arguments are framed out by the ROTB instead of spending time on substance.</w:t>
      </w:r>
    </w:p>
    <w:p>
      <w:r>
        <w:t xml:space="preserve">FF - Consistent.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2026-07-12T15:12:30.297Z</dcterms:created>
  <dcterms:modified xsi:type="dcterms:W3CDTF">2026-07-12T15:12:30.297Z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