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Blake R5 2025 — RFD</w:t>
      </w:r>
    </w:p>
    <w:p>
      <w:r>
        <w:rPr>
          <w:b/>
          <w:bCs/>
        </w:rPr>
        <w:t xml:space="preserve">Event: Public Forum (technical/circuit style)  |  Tournament: Blake  |  Round: R5  |  Year: 2025</w:t>
      </w:r>
    </w:p>
    <w:p>
      <w:r>
        <w:rPr>
          <w:i/>
          <w:iCs/>
        </w:rPr>
        <w:t xml:space="preserve">Context: This is the judge's Reason For Decision (RFD) for the round above, transcribed verbatim from the 'RFD' tab of 'Blake R5 2025.xlsx' (companion flow tabs: AFF, NEG, No Nonrez, OS, OS CI). Circuit PF borrows heavy LD/Policy jargon (K, T, CI, alts, fiat, weighing, extensions); shorthand and typos are original.</w:t>
      </w:r>
    </w:p>
    <w:p/>
    <w:p>
      <w:pPr>
        <w:pStyle w:val="Heading2"/>
      </w:pPr>
      <w:r>
        <w:t xml:space="preserve">Reason For Decision</w:t>
      </w:r>
    </w:p>
    <w:p>
      <w:r>
        <w:t xml:space="preserve">Addressing the theory as an a priori issue:</w:t>
      </w:r>
    </w:p>
    <w:p>
      <w:r>
        <w:t xml:space="preserve">I'm not sure the tagging of the argument as non-rez theory was really an accurate shorthand for the argument, but no out of round theory was also being used as the descriptor. That said, the argument regardless of label was that out of round based theory violations are not desirable, and the reason this continued as a claim was that the Pro was forced to split case time to defending theory and the continued discussion moved debate to a procedural issue. I don't think my vote matters for any real norm setting across debate but I still have this single round to determine if the debate was made unfair by the theory being read.</w:t>
      </w:r>
    </w:p>
    <w:p>
      <w:r>
        <w:t xml:space="preserve">I think you read my paradigm fairly closely given the answers on the disclosure off.</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2026-07-12T15:12:30.496Z</dcterms:created>
  <dcterms:modified xsi:type="dcterms:W3CDTF">2026-07-12T15:12:30.496Z</dcterms:modified>
</cp:coreProperties>
</file>

<file path=docProps/custom.xml><?xml version="1.0" encoding="utf-8"?>
<Properties xmlns="http://schemas.openxmlformats.org/officeDocument/2006/custom-properties" xmlns:vt="http://schemas.openxmlformats.org/officeDocument/2006/docPropsVTypes"/>
</file>