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Sunvite R2 2026 — RFD</w:t>
      </w:r>
    </w:p>
    <w:p>
      <w:r>
        <w:rPr>
          <w:b/>
          <w:bCs/>
        </w:rPr>
        <w:t xml:space="preserve">Event: Public Forum (technical/circuit style)  |  Tournament: Sunvite  |  Round: R2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'Sunvite R2 2026.xlsx' (companion flow tabs: NEG, AFF, Weighing).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I vote neg on Siberia. None of the final focus responses were in summary, so the arg is functionally conceded. The timeframe weighing isn't addressed until 2nd final, so I buy that nuke war happens essentially immmediately and leads to extinction. On the aff flow, the "fill in"/"alternatives worse" case turn isn't properly addressed, so even taking the climate contention at its highest ground, the aff's impacts are still terminally non-unique.</w:t>
      </w:r>
    </w:p>
    <w:p>
      <w:r>
        <w:t xml:space="preserve">I think the extension of your internal link story to extinction on Siberia could be a bit better warranted, but really solid speeches overall.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2026-07-12T15:12:30.797Z</dcterms:created>
  <dcterms:modified xsi:type="dcterms:W3CDTF">2026-07-12T15:12:30.797Z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