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Sunvite R4 2026 — RFD</w:t>
      </w:r>
    </w:p>
    <w:p>
      <w:r>
        <w:rPr>
          <w:b/>
          <w:bCs/>
        </w:rPr>
        <w:t xml:space="preserve">Event: Public Forum (technical/circuit style)  |  Tournament: Sunvite  |  Round: R4  |  Year: 2026</w:t>
      </w:r>
    </w:p>
    <w:p>
      <w:r>
        <w:rPr>
          <w:i/>
          <w:iCs/>
        </w:rPr>
        <w:t xml:space="preserve">Context: This is the judge's Reason For Decision (RFD) for the round above, transcribed verbatim from the 'RFD' tab of 'Sunvite R4 2026.xlsx' (companion flow tabs: OS). Circuit PF borrows heavy LD/Policy jargon (K, T, CI, alts, fiat, weighing, extensions); shorthand and typos are original.</w:t>
      </w:r>
    </w:p>
    <w:p/>
    <w:p>
      <w:pPr>
        <w:pStyle w:val="Heading2"/>
      </w:pPr>
      <w:r>
        <w:t xml:space="preserve">Reason For Decision</w:t>
      </w:r>
    </w:p>
    <w:p>
      <w:r>
        <w:t xml:space="preserve">good round, i affirm for emerald</w:t>
      </w:r>
    </w:p>
    <w:p>
      <w:r>
        <w:t xml:space="preserve">i look to the meta weighing first. the nonres shell is really mishandled, predictability standard isnt rlly interacted with from the start of the backhalf, which means im still granting them access to fairness + is just a reason to reject the OS shell. the ai stuff is basically conceded and is a link to fairness too, so again like if we both teams agree to fairness first then i look here first because the nonres shell is a prior question to evaluating the OS shell. the last thing i have to evaluate here is the norm setting argument but i agree with emerald that their argument also applies to all rounds, and i think lake highland's weighing on norm setting is quite bare and not implicated offensively for me to buy this. on the OS shell, text over spirit is dropped. final is kind of just "he said, she said" warrant clash, but its conceded that emerald must be 100% proven guilty. since i know emerald is already winning on the fairness page, the last thing i evaluate is the ev ethics things, but i dont lake highland has done a good enough job on the line by line explaining why 30 minutes is not enough and why this specifically outweighs the other standards im getting off the nonres shell. lastly, on paradigm issues, like i just assume both teams agree fairness is good, like i do think both teams actually end up making access and fairness arguments, but insofar as emerald is uplayering the theory flow and is winning a link into fairness, i probably just pull the trigger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2026-07-12T15:12:30.832Z</dcterms:created>
  <dcterms:modified xsi:type="dcterms:W3CDTF">2026-07-12T15:12:30.832Z</dcterms:modified>
</cp:coreProperties>
</file>

<file path=docProps/custom.xml><?xml version="1.0" encoding="utf-8"?>
<Properties xmlns="http://schemas.openxmlformats.org/officeDocument/2006/custom-properties" xmlns:vt="http://schemas.openxmlformats.org/officeDocument/2006/docPropsVTypes"/>
</file>