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Autonomous Working Capital System</w:t>
      </w:r>
    </w:p>
    <w:p>
      <w:pPr>
        <w:pBdr>
          <w:bottom w:val="single" w:color="000000" w:sz="12" w:space="6"/>
        </w:pBd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ETH Global Mumbai Hackathon</w:t>
      </w:r>
    </w:p>
    <w:p>
      <w:pPr>
        <w:pStyle w:val="Heading1"/>
        <w:keepNext/>
        <w:pBdr>
          <w:bottom w:val="single" w:color="000000" w:sz="6" w:space="3"/>
        </w:pBdr>
        <w:spacing w:after="120" w:before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Overview</w:t>
      </w:r>
    </w:p>
    <w:p>
      <w:pPr>
        <w:spacing w:after="10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receivables-backed credit protocol for AI-agent businesses. It turns buyer-confirmed future revenue into USDC working capital that a team of agents can spend today, then repays lenders automatically when the customer pays.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One verified receivable, one shared credit ceiling, many agents.</w:t>
      </w:r>
    </w:p>
    <w:p>
      <w:pPr>
        <w:pStyle w:val="Heading1"/>
        <w:keepNext/>
        <w:pBdr>
          <w:bottom w:val="single" w:color="000000" w:sz="6" w:space="3"/>
        </w:pBdr>
        <w:spacing w:after="9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Problem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Agents pay immediately for APIs, compute, data, tools and other agents.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Customers pay 30 to 60 days after the work is done.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profitable agent can still stop operating because of a temporary cash gap.</w:t>
      </w:r>
    </w:p>
    <w:p>
      <w:pPr>
        <w:pStyle w:val="Heading1"/>
        <w:keepNext/>
        <w:pBdr>
          <w:bottom w:val="single" w:color="000000" w:sz="6" w:space="3"/>
        </w:pBdr>
        <w:spacing w:after="9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How It Works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Verify.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The buyer confirms the invoice. Hedera tokenizes it with one canonical ID, so it can never be financed twice.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Fund.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 borrowing base is calculated from the receivable. 1inch Aqua lenders with matching risk rules compete, and the cheapest eligible capital is selected.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Spend.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Arc issues one USDC credit facility. The lead agent splits it into sub-budgets, and subagents pay for services autonomously through x402 on Hedera.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Repay.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The customer pays into a fixed Arc repayment router. Lenders receive principal and fee first, and the operator receives the remainder.</w:t>
      </w:r>
    </w:p>
    <w:p>
      <w:pPr>
        <w:pStyle w:val="Heading1"/>
        <w:keepNext/>
        <w:pBdr>
          <w:bottom w:val="single" w:color="000000" w:sz="6" w:space="3"/>
        </w:pBdr>
        <w:spacing w:after="9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Technology Roles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346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33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Prize track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Hedera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 and identity. Receivable token (Asset Tokenization Studio), HCS audit trail, KYA identity and reputation, x402 payments.</w:t>
            </w:r>
          </w:p>
        </w:tc>
        <w:tc>
          <w:tcPr>
            <w:tcW w:type="dxa" w:w="33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Tokenize Anything; AI Agents That Pay: x402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1inch Aqua + SwapVM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market. Lender positions with their own risk rules, risk-priced APR, custom credit instruction, multi-lender matching.</w:t>
            </w:r>
          </w:p>
        </w:tc>
        <w:tc>
          <w:tcPr>
            <w:tcW w:type="dxa" w:w="33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an Aqua App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Arc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and settlement. USDC credit facility, borrowing-base limit, shared agent budget, repayment router.</w:t>
            </w:r>
          </w:p>
        </w:tc>
        <w:tc>
          <w:tcPr>
            <w:tcW w:type="dxa" w:w="33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DeFi / Onchain Finance App; Advanced Stablecoin Logic</w:t>
            </w:r>
          </w:p>
        </w:tc>
      </w:tr>
    </w:tbl>
    <w:p>
      <w:pPr>
        <w:pStyle w:val="Heading1"/>
        <w:keepNext/>
        <w:pBdr>
          <w:bottom w:val="single" w:color="000000" w:sz="6" w:space="3"/>
        </w:pBdr>
        <w:spacing w:after="9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Security and Guarantees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7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Fake or double-financed invoice</w:t>
            </w:r>
          </w:p>
        </w:tc>
        <w:tc>
          <w:tcPr>
            <w:tcW w:type="dxa" w:w="7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Buyer confirmation, then one canonical receivable ID with a lifecycle lock.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Repayment bypass</w:t>
            </w:r>
          </w:p>
        </w:tc>
        <w:tc>
          <w:tcPr>
            <w:tcW w:type="dxa" w:w="7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route is fixed to the router before lending, so lenders are paid before the operator.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Over-borrowing</w:t>
            </w:r>
          </w:p>
        </w:tc>
        <w:tc>
          <w:tcPr>
            <w:tcW w:type="dxa" w:w="7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Debt never exceeds the borrowing base. Subagent budgets are reservations, so more agents never means more credit.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Rogue subagent</w:t>
            </w:r>
          </w:p>
        </w:tc>
        <w:tc>
          <w:tcPr>
            <w:tcW w:type="dxa" w:w="7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KYA identity, merchant allowlist, daily and per-transaction limits.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Stale data, AI error</w:t>
            </w:r>
          </w:p>
        </w:tc>
        <w:tc>
          <w:tcPr>
            <w:tcW w:type="dxa" w:w="7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 claims stop borrowing. Credit decisions are deterministic; AI only explains.</w:t>
            </w:r>
          </w:p>
        </w:tc>
      </w:tr>
    </w:tbl>
    <w:p>
      <w:pPr>
        <w:pStyle w:val="Heading1"/>
        <w:keepNext/>
        <w:pageBreakBefore/>
        <w:pBdr>
          <w:bottom w:val="single" w:color="000000" w:sz="6" w:space="3"/>
        </w:pBdr>
        <w:spacing w:after="10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System Architecture</w:t>
      </w:r>
    </w:p>
    <w:p>
      <w:pPr>
        <w:spacing w:after="0"/>
        <w:jc w:val="center"/>
      </w:pPr>
      <w:r>
        <w:drawing>
          <wp:inline distT="0" distB="0" distL="0" distR="0">
            <wp:extent cx="6096000" cy="8534400"/>
            <wp:effectExtent t="0" r="0" b="0" l="0"/>
            <wp:docPr id="1" name="architecture" descr="Verify, Fund, Spend and Repay flow of the syste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pBdr>
          <w:bottom w:val="single" w:color="000000" w:sz="6" w:space="3"/>
        </w:pBdr>
        <w:spacing w:after="12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Worked Example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7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Invoice</w:t>
            </w:r>
          </w:p>
        </w:tc>
        <w:tc>
          <w:tcPr>
            <w:tcW w:type="dxa" w:w="7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 from RetailCo, Net 30.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Borrowing base</w:t>
            </w:r>
          </w:p>
        </w:tc>
        <w:tc>
          <w:tcPr>
            <w:tcW w:type="dxa" w:w="7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advance rate gives $7,500.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Lenders matched</w:t>
            </w:r>
          </w:p>
        </w:tc>
        <w:tc>
          <w:tcPr>
            <w:tcW w:type="dxa" w:w="7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Alice $4,000 at 7% and Bob $2,000 at 8.5% fund $6,000. Charlie at 13% is not needed.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Shared budget</w:t>
            </w:r>
          </w:p>
        </w:tc>
        <w:tc>
          <w:tcPr>
            <w:tcW w:type="dxa" w:w="7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$1,000, Compute $3,000, Data $1,000, Reserve $1,000.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x402 payment</w:t>
            </w:r>
          </w:p>
        </w:tc>
        <w:tc>
          <w:tcPr>
            <w:tcW w:type="dxa" w:w="7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agent pays $0.25 USDC automatically. The spend is logged on HCS.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Overspend</w:t>
            </w:r>
          </w:p>
        </w:tc>
        <w:tc>
          <w:tcPr>
            <w:tcW w:type="dxa" w:w="7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agent requests $5,500 and is rejected: GLOBAL_CREDIT_LIMIT_EXCEEDED.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Repayment</w:t>
            </w:r>
          </w:p>
        </w:tc>
        <w:tc>
          <w:tcPr>
            <w:tcW w:type="dxa" w:w="7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pays $10,000: $6,100 to lenders (principal plus $100 fee), $3,900 to the operator.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 state</w:t>
            </w:r>
          </w:p>
        </w:tc>
        <w:tc>
          <w:tcPr>
            <w:tcW w:type="dxa" w:w="7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Debt is $0, the receivable is repaid, and credit is ready for the next invoice.</w:t>
            </w:r>
          </w:p>
        </w:tc>
      </w:tr>
    </w:tbl>
    <w:p>
      <w:pPr>
        <w:pStyle w:val="Heading1"/>
        <w:keepNext/>
        <w:pBdr>
          <w:bottom w:val="single" w:color="000000" w:sz="6" w:space="3"/>
        </w:pBdr>
        <w:spacing w:after="9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MVP Scope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80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  Core</w:t>
            </w:r>
          </w:p>
        </w:tc>
        <w:tc>
          <w:tcPr>
            <w:tcW w:type="dxa" w:w="80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invoice and buyer. Hedera receivable, HCS event and KYA identity. Arc facility with borrowing base. Shared budget across 2 to 3 agents. One live x402 payment, one rejected overspend, automatic repayment waterfall.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  Strong</w:t>
            </w:r>
          </w:p>
        </w:tc>
        <w:tc>
          <w:tcPr>
            <w:tcW w:type="dxa" w:w="80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Aqua lender positions, custom SwapVM credit instruction, two lender offers, cheapest-lender solver.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  Wow</w:t>
            </w:r>
          </w:p>
        </w:tc>
        <w:tc>
          <w:tcPr>
            <w:tcW w:type="dxa" w:w="80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rate curve, three lenders, treasury agent with atomic flash refinancing (14% to 8%, debt unchanged).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80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KYC, fiat banking, governance, liquidations, multiple collateral types, token launch.</w:t>
            </w:r>
          </w:p>
        </w:tc>
      </w:tr>
    </w:tbl>
    <w:p>
      <w:pPr>
        <w:pStyle w:val="Heading1"/>
        <w:keepNext/>
        <w:pBdr>
          <w:bottom w:val="single" w:color="000000" w:sz="6" w:space="3"/>
        </w:pBdr>
        <w:spacing w:after="9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9. Demo Flow (3 to 4 minutes)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Invoice is confirmed and tokenized on Hedera.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Borrowing base and matched Aqua funding appear as Arc credit.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Lead agent delegates sub-budgets.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Research agent pays $0.25 through x402 and the audit event is shown.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Compute agent overspend is rejected.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Customer pays and the payment splits automatically to lenders and operator.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Final state: debt $0, receivable repaid, facility ready for the next claim.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Optional: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treasury agent refinances from 14% to 8% in one atomic transaction.</w:t>
      </w:r>
    </w:p>
    <w:p>
      <w:pPr>
        <w:pStyle w:val="Heading1"/>
        <w:keepNext/>
        <w:pBdr>
          <w:bottom w:val="single" w:color="000000" w:sz="6" w:space="3"/>
        </w:pBdr>
        <w:spacing w:after="9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10. Differentiation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Versus simple agent credit: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backed by verified receivables and repaid from customer revenue.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Versus invoice factoring: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built for agent teams sharing one ceiling, with autonomous spending and programmable lenders.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Versus generic DeFi lending: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collateral is an accepted future cash flow, underwritten on buyer quality.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Arial" w:cs="Arial" w:eastAsia="Arial" w:hAnsi="Arial"/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b/>
        <w:bCs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b/>
        <w:bCs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ee16208e89c202d1dccea86c516fd8d03c08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Working Capital System</dc:title>
  <dc:creator>Autonomous Working Capital System</dc:creator>
  <cp:lastModifiedBy>Un-named</cp:lastModifiedBy>
  <cp:revision>1</cp:revision>
  <dcterms:created xsi:type="dcterms:W3CDTF">2026-10-18T13:20:24.759Z</dcterms:created>
  <dcterms:modified xsi:type="dcterms:W3CDTF">2026-10-18T13:20:24.760Z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