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360" w:line="300" w:lineRule="auto"/>
        <w:jc w:val="center"/>
      </w:pPr>
      <w:r>
        <w:rPr>
          <w:rFonts w:ascii="Calibri" w:hAnsi="Calibri"/>
          <w:b/>
          <w:i w:val="0"/>
          <w:color w:val="D9A441"/>
          <w:sz w:val="20"/>
        </w:rPr>
        <w:t>OFFICIAL PARTICIPANT RULEBOOK | VERSION 1.0</w:t>
      </w:r>
    </w:p>
    <w:p>
      <w:pPr>
        <w:pStyle w:val="Title"/>
        <w:jc w:val="center"/>
      </w:pPr>
      <w:r>
        <w:t>AGENTIC SWARM</w:t>
      </w:r>
    </w:p>
    <w:p>
      <w:pPr>
        <w:pStyle w:val="Subtitle"/>
        <w:jc w:val="center"/>
      </w:pPr>
      <w:r>
        <w:t>The AI Boardroom</w:t>
      </w:r>
    </w:p>
    <w:p>
      <w:pPr>
        <w:keepNext w:val="0"/>
        <w:spacing w:before="0" w:after="440" w:line="300" w:lineRule="auto"/>
        <w:jc w:val="center"/>
      </w:pPr>
      <w:r>
        <w:rPr>
          <w:rFonts w:ascii="Calibri" w:hAnsi="Calibri"/>
          <w:b/>
          <w:i w:val="0"/>
          <w:color w:val="17324D"/>
          <w:sz w:val="25"/>
        </w:rPr>
        <w:t>Build an AI workforce that analyses, debates and decides.</w:t>
      </w:r>
    </w:p>
    <w:tbl>
      <w:tblPr>
        <w:tblW w:type="dxa" w:w="9360"/>
        <w:jc w:val="left"/>
        <w:tblLayout w:type="fixed"/>
        <w:tblLook w:firstColumn="1" w:firstRow="1" w:lastColumn="0" w:lastRow="0" w:noHBand="0" w:noVBand="1" w:val="04A0"/>
        <w:tblInd w:w="120" w:type="dxa"/>
        <w:tblBorders>
          <w:top w:val="single" w:sz="6" w:space="0" w:color="BDD1D3"/>
          <w:left w:val="single" w:sz="6" w:space="0" w:color="BDD1D3"/>
          <w:bottom w:val="single" w:sz="6" w:space="0" w:color="BDD1D3"/>
          <w:right w:val="single" w:sz="6" w:space="0" w:color="BDD1D3"/>
          <w:insideH w:val="single" w:sz="6" w:space="0" w:color="BDD1D3"/>
          <w:insideV w:val="single" w:sz="6" w:space="0" w:color="BDD1D3"/>
        </w:tblBorders>
      </w:tblPr>
      <w:tblGrid>
        <w:gridCol w:w="2340"/>
        <w:gridCol w:w="2340"/>
        <w:gridCol w:w="2340"/>
        <w:gridCol w:w="2340"/>
      </w:tblGrid>
      <w:tr>
        <w:trPr>
          <w:cantSplit w:val="true"/>
          <w:cantSplit w:val="true"/>
          <w:cantSplit w:val="true"/>
          <w:cantSplit w:val="true"/>
        </w:trPr>
        <w:tc>
          <w:tcPr>
            <w:tcW w:type="dxa" w:w="2340"/>
            <w:tcMar>
              <w:top w:w="90" w:type="dxa"/>
              <w:start w:w="120" w:type="dxa"/>
              <w:bottom w:w="90" w:type="dxa"/>
              <w:end w:w="120" w:type="dxa"/>
            </w:tcMar>
            <w:vAlign w:val="center"/>
            <w:shd w:fill="E8F4F4"/>
          </w:tcPr>
          <w:p>
            <w:pPr>
              <w:keepNext w:val="0"/>
              <w:spacing w:before="0" w:after="40" w:line="240" w:lineRule="auto"/>
              <w:jc w:val="center"/>
            </w:pPr>
            <w:r>
              <w:rPr>
                <w:rFonts w:ascii="Calibri" w:hAnsi="Calibri"/>
                <w:b/>
                <w:color w:val="007C83"/>
                <w:sz w:val="17"/>
              </w:rPr>
              <w:t>FORMAT</w:t>
            </w:r>
          </w:p>
          <w:p>
            <w:pPr>
              <w:keepNext w:val="0"/>
              <w:spacing w:before="0" w:after="0" w:line="240" w:lineRule="auto"/>
              <w:jc w:val="center"/>
            </w:pPr>
            <w:r>
              <w:rPr>
                <w:rFonts w:ascii="Calibri" w:hAnsi="Calibri"/>
                <w:b/>
                <w:color w:val="17324D"/>
                <w:sz w:val="21"/>
              </w:rPr>
              <w:t>8-hour challenge</w:t>
            </w:r>
          </w:p>
        </w:tc>
        <w:tc>
          <w:tcPr>
            <w:tcW w:type="dxa" w:w="2340"/>
            <w:tcMar>
              <w:top w:w="90" w:type="dxa"/>
              <w:start w:w="120" w:type="dxa"/>
              <w:bottom w:w="90" w:type="dxa"/>
              <w:end w:w="120" w:type="dxa"/>
            </w:tcMar>
            <w:vAlign w:val="center"/>
            <w:shd w:fill="E8F4F4"/>
          </w:tcPr>
          <w:p>
            <w:pPr>
              <w:keepNext w:val="0"/>
              <w:spacing w:before="0" w:after="40" w:line="240" w:lineRule="auto"/>
              <w:jc w:val="center"/>
            </w:pPr>
            <w:r>
              <w:rPr>
                <w:rFonts w:ascii="Calibri" w:hAnsi="Calibri"/>
                <w:b/>
                <w:color w:val="007C83"/>
                <w:sz w:val="17"/>
              </w:rPr>
              <w:t>TEAM</w:t>
            </w:r>
          </w:p>
          <w:p>
            <w:pPr>
              <w:keepNext w:val="0"/>
              <w:spacing w:before="0" w:after="0" w:line="240" w:lineRule="auto"/>
              <w:jc w:val="center"/>
            </w:pPr>
            <w:r>
              <w:rPr>
                <w:rFonts w:ascii="Calibri" w:hAnsi="Calibri"/>
                <w:b/>
                <w:color w:val="17324D"/>
                <w:sz w:val="21"/>
              </w:rPr>
              <w:t>2-4 members</w:t>
            </w:r>
          </w:p>
        </w:tc>
        <w:tc>
          <w:tcPr>
            <w:tcW w:type="dxa" w:w="2340"/>
            <w:tcMar>
              <w:top w:w="90" w:type="dxa"/>
              <w:start w:w="120" w:type="dxa"/>
              <w:bottom w:w="90" w:type="dxa"/>
              <w:end w:w="120" w:type="dxa"/>
            </w:tcMar>
            <w:vAlign w:val="center"/>
            <w:shd w:fill="E8F4F4"/>
          </w:tcPr>
          <w:p>
            <w:pPr>
              <w:keepNext w:val="0"/>
              <w:spacing w:before="0" w:after="40" w:line="240" w:lineRule="auto"/>
              <w:jc w:val="center"/>
            </w:pPr>
            <w:r>
              <w:rPr>
                <w:rFonts w:ascii="Calibri" w:hAnsi="Calibri"/>
                <w:b/>
                <w:color w:val="007C83"/>
                <w:sz w:val="17"/>
              </w:rPr>
              <w:t>SWARM</w:t>
            </w:r>
          </w:p>
          <w:p>
            <w:pPr>
              <w:keepNext w:val="0"/>
              <w:spacing w:before="0" w:after="0" w:line="240" w:lineRule="auto"/>
              <w:jc w:val="center"/>
            </w:pPr>
            <w:r>
              <w:rPr>
                <w:rFonts w:ascii="Calibri" w:hAnsi="Calibri"/>
                <w:b/>
                <w:color w:val="17324D"/>
                <w:sz w:val="21"/>
              </w:rPr>
              <w:t>4-8 agents</w:t>
            </w:r>
          </w:p>
        </w:tc>
        <w:tc>
          <w:tcPr>
            <w:tcW w:type="dxa" w:w="2340"/>
            <w:tcMar>
              <w:top w:w="90" w:type="dxa"/>
              <w:start w:w="120" w:type="dxa"/>
              <w:bottom w:w="90" w:type="dxa"/>
              <w:end w:w="120" w:type="dxa"/>
            </w:tcMar>
            <w:vAlign w:val="center"/>
            <w:shd w:fill="E8F4F4"/>
          </w:tcPr>
          <w:p>
            <w:pPr>
              <w:keepNext w:val="0"/>
              <w:spacing w:before="0" w:after="40" w:line="240" w:lineRule="auto"/>
              <w:jc w:val="center"/>
            </w:pPr>
            <w:r>
              <w:rPr>
                <w:rFonts w:ascii="Calibri" w:hAnsi="Calibri"/>
                <w:b/>
                <w:color w:val="007C83"/>
                <w:sz w:val="17"/>
              </w:rPr>
              <w:t>SCORE</w:t>
            </w:r>
          </w:p>
          <w:p>
            <w:pPr>
              <w:keepNext w:val="0"/>
              <w:spacing w:before="0" w:after="0" w:line="240" w:lineRule="auto"/>
              <w:jc w:val="center"/>
            </w:pPr>
            <w:r>
              <w:rPr>
                <w:rFonts w:ascii="Calibri" w:hAnsi="Calibri"/>
                <w:b/>
                <w:color w:val="17324D"/>
                <w:sz w:val="21"/>
              </w:rPr>
              <w:t>100 points</w:t>
            </w:r>
          </w:p>
        </w:tc>
      </w:tr>
    </w:tbl>
    <w:p>
      <w:pPr>
        <w:spacing w:after="20"/>
      </w:pPr>
    </w:p>
    <w:tbl>
      <w:tblPr>
        <w:tblW w:type="dxa" w:w="9360"/>
        <w:jc w:val="left"/>
        <w:tblLayout w:type="fixed"/>
        <w:tblLook w:firstColumn="1" w:firstRow="1" w:lastColumn="0" w:lastRow="0" w:noHBand="0" w:noVBand="1" w:val="04A0"/>
        <w:tblInd w:w="120" w:type="dxa"/>
        <w:tblBorders>
          <w:top w:val="single" w:sz="8" w:space="0" w:color="007C83"/>
          <w:left w:val="single" w:sz="8" w:space="0" w:color="007C83"/>
          <w:bottom w:val="single" w:sz="8" w:space="0" w:color="007C83"/>
          <w:right w:val="single" w:sz="8" w:space="0" w:color="007C83"/>
          <w:insideH w:val="single" w:sz="8" w:space="0" w:color="007C83"/>
          <w:insideV w:val="single" w:sz="8" w:space="0" w:color="007C83"/>
        </w:tblBorders>
      </w:tblPr>
      <w:tblGrid>
        <w:gridCol w:w="9360"/>
      </w:tblGrid>
      <w:tr>
        <w:trPr>
          <w:cantSplit w:val="true"/>
        </w:trPr>
        <w:tc>
          <w:tcPr>
            <w:tcW w:type="dxa" w:w="9360"/>
            <w:tcMar>
              <w:top w:w="90" w:type="dxa"/>
              <w:start w:w="120" w:type="dxa"/>
              <w:bottom w:w="90" w:type="dxa"/>
              <w:end w:w="120" w:type="dxa"/>
            </w:tcMar>
            <w:vAlign w:val="center"/>
            <w:shd w:fill="E8F4F4"/>
          </w:tcPr>
          <w:p>
            <w:pPr>
              <w:keepNext w:val="0"/>
              <w:spacing w:before="0" w:after="0" w:line="276" w:lineRule="auto"/>
            </w:pPr>
            <w:r>
              <w:rPr>
                <w:rFonts w:ascii="Calibri" w:hAnsi="Calibri"/>
                <w:b/>
                <w:color w:val="007C83"/>
                <w:sz w:val="21"/>
              </w:rPr>
              <w:t xml:space="preserve">CORE CHALLENGE  </w:t>
            </w:r>
            <w:r>
              <w:rPr>
                <w:rFonts w:ascii="Calibri" w:hAnsi="Calibri"/>
                <w:color w:val="243746"/>
                <w:sz w:val="21"/>
              </w:rPr>
              <w:t>Build a multi-agent management team in which specialised department agents analyse one business problem, challenge one another and help a CEO Agent produce an implementable decision.</w:t>
            </w:r>
          </w:p>
        </w:tc>
      </w:tr>
    </w:tbl>
    <w:p>
      <w:pPr>
        <w:keepNext w:val="0"/>
        <w:spacing w:before="0" w:after="20" w:line="300" w:lineRule="auto"/>
      </w:pPr>
    </w:p>
    <w:p>
      <w:pPr>
        <w:pStyle w:val="Heading1"/>
      </w:pPr>
      <w:r>
        <w:t>What participants must demonstrate</w:t>
      </w:r>
    </w:p>
    <w:p>
      <w:pPr>
        <w:keepNext w:val="0"/>
        <w:numPr>
          <w:ilvl w:val="0"/>
          <w:numId w:val="10"/>
        </w:numPr>
        <w:spacing w:before="0" w:after="60" w:line="276" w:lineRule="auto"/>
      </w:pPr>
      <w:r>
        <w:rPr>
          <w:rFonts w:ascii="Calibri" w:hAnsi="Calibri"/>
          <w:color w:val="243746"/>
          <w:sz w:val="22"/>
        </w:rPr>
        <w:t>A working swarm with distinct department responsibilities.</w:t>
      </w:r>
    </w:p>
    <w:p>
      <w:pPr>
        <w:keepNext w:val="0"/>
        <w:numPr>
          <w:ilvl w:val="0"/>
          <w:numId w:val="10"/>
        </w:numPr>
        <w:spacing w:before="0" w:after="60" w:line="276" w:lineRule="auto"/>
      </w:pPr>
      <w:r>
        <w:rPr>
          <w:rFonts w:ascii="Calibri" w:hAnsi="Calibri"/>
          <w:color w:val="243746"/>
          <w:sz w:val="22"/>
        </w:rPr>
        <w:t>Visible information exchange and at least one meaningful disagreement.</w:t>
      </w:r>
    </w:p>
    <w:p>
      <w:pPr>
        <w:keepNext w:val="0"/>
        <w:numPr>
          <w:ilvl w:val="0"/>
          <w:numId w:val="10"/>
        </w:numPr>
        <w:spacing w:before="0" w:after="60" w:line="276" w:lineRule="auto"/>
      </w:pPr>
      <w:r>
        <w:rPr>
          <w:rFonts w:ascii="Calibri" w:hAnsi="Calibri"/>
          <w:color w:val="243746"/>
          <w:sz w:val="22"/>
        </w:rPr>
        <w:t>A CEO decision based on department evidence and trade-offs.</w:t>
      </w:r>
    </w:p>
    <w:p>
      <w:pPr>
        <w:keepNext w:val="0"/>
        <w:numPr>
          <w:ilvl w:val="0"/>
          <w:numId w:val="10"/>
        </w:numPr>
        <w:spacing w:before="0" w:after="60" w:line="276" w:lineRule="auto"/>
      </w:pPr>
      <w:r>
        <w:rPr>
          <w:rFonts w:ascii="Calibri" w:hAnsi="Calibri"/>
          <w:color w:val="243746"/>
          <w:sz w:val="22"/>
        </w:rPr>
        <w:t>A revised decision after an organizer-provided business surprise.</w:t>
      </w:r>
    </w:p>
    <w:p>
      <w:pPr>
        <w:keepNext w:val="0"/>
        <w:numPr>
          <w:ilvl w:val="0"/>
          <w:numId w:val="10"/>
        </w:numPr>
        <w:spacing w:before="0" w:after="60" w:line="276" w:lineRule="auto"/>
      </w:pPr>
      <w:r>
        <w:rPr>
          <w:rFonts w:ascii="Calibri" w:hAnsi="Calibri"/>
          <w:color w:val="243746"/>
          <w:sz w:val="22"/>
        </w:rPr>
        <w:t>A practical implementation plan with measurable business KPIs.</w:t>
      </w:r>
    </w:p>
    <w:tbl>
      <w:tblPr>
        <w:tblW w:type="dxa" w:w="9360"/>
        <w:jc w:val="left"/>
        <w:tblLayout w:type="fixed"/>
        <w:tblLook w:firstColumn="1" w:firstRow="1" w:lastColumn="0" w:lastRow="0" w:noHBand="0" w:noVBand="1" w:val="04A0"/>
        <w:tblInd w:w="120" w:type="dxa"/>
        <w:tblBorders>
          <w:top w:val="single" w:sz="8" w:space="0" w:color="D9A441"/>
          <w:left w:val="single" w:sz="8" w:space="0" w:color="D9A441"/>
          <w:bottom w:val="single" w:sz="8" w:space="0" w:color="D9A441"/>
          <w:right w:val="single" w:sz="8" w:space="0" w:color="D9A441"/>
          <w:insideH w:val="single" w:sz="8" w:space="0" w:color="D9A441"/>
          <w:insideV w:val="single" w:sz="8" w:space="0" w:color="D9A441"/>
        </w:tblBorders>
      </w:tblPr>
      <w:tblGrid>
        <w:gridCol w:w="9360"/>
      </w:tblGrid>
      <w:tr>
        <w:trPr>
          <w:cantSplit w:val="true"/>
        </w:trPr>
        <w:tc>
          <w:tcPr>
            <w:tcW w:type="dxa" w:w="9360"/>
            <w:tcMar>
              <w:top w:w="90" w:type="dxa"/>
              <w:start w:w="120" w:type="dxa"/>
              <w:bottom w:w="90" w:type="dxa"/>
              <w:end w:w="120" w:type="dxa"/>
            </w:tcMar>
            <w:vAlign w:val="center"/>
            <w:shd w:fill="FFF7E3"/>
          </w:tcPr>
          <w:p>
            <w:pPr>
              <w:keepNext w:val="0"/>
              <w:spacing w:before="0" w:after="0" w:line="276" w:lineRule="auto"/>
            </w:pPr>
            <w:r>
              <w:rPr>
                <w:rFonts w:ascii="Calibri" w:hAnsi="Calibri"/>
                <w:b/>
                <w:color w:val="D9A441"/>
                <w:sz w:val="21"/>
              </w:rPr>
              <w:t xml:space="preserve">CENTRAL RULE  </w:t>
            </w:r>
            <w:r>
              <w:rPr>
                <w:rFonts w:ascii="Calibri" w:hAnsi="Calibri"/>
                <w:color w:val="243746"/>
                <w:sz w:val="21"/>
              </w:rPr>
              <w:t>More agents do not automatically earn more marks. Judges reward useful specialisation, real collaboration and better business decisions.</w:t>
            </w:r>
          </w:p>
        </w:tc>
      </w:tr>
    </w:tbl>
    <w:p>
      <w:pPr>
        <w:pStyle w:val="Heading1"/>
        <w:pageBreakBefore/>
      </w:pPr>
      <w:r>
        <w:t>1. Event purpose and eligibility</w:t>
      </w:r>
    </w:p>
    <w:p>
      <w:pPr>
        <w:pStyle w:val="Heading2"/>
      </w:pPr>
      <w:r>
        <w:t>Purpose</w:t>
      </w:r>
    </w:p>
    <w:p>
      <w:pPr>
        <w:keepNext w:val="0"/>
        <w:spacing w:before="0" w:after="120" w:line="300" w:lineRule="auto"/>
      </w:pPr>
      <w:r>
        <w:rPr>
          <w:rFonts w:ascii="Calibri" w:hAnsi="Calibri"/>
          <w:b w:val="0"/>
          <w:i w:val="0"/>
          <w:color w:val="243746"/>
          <w:sz w:val="22"/>
        </w:rPr>
        <w:t>Agentic Swarm is a business-focused AI build challenge. Participants create a virtual management team whose department agents examine the same business case from different perspectives. The event evaluates whether agent collaboration improves the final decision, not merely whether several prompts were executed.</w:t>
      </w:r>
    </w:p>
    <w:p>
      <w:pPr>
        <w:pStyle w:val="Heading2"/>
      </w:pPr>
      <w:r>
        <w:t>Eligibility</w:t>
      </w:r>
    </w:p>
    <w:p>
      <w:pPr>
        <w:keepNext w:val="0"/>
        <w:numPr>
          <w:ilvl w:val="0"/>
          <w:numId w:val="10"/>
        </w:numPr>
        <w:spacing w:before="0" w:after="60" w:line="276" w:lineRule="auto"/>
      </w:pPr>
      <w:r>
        <w:rPr>
          <w:rFonts w:ascii="Calibri" w:hAnsi="Calibri"/>
          <w:color w:val="243746"/>
          <w:sz w:val="22"/>
        </w:rPr>
        <w:t>A team must contain two to four registered participants.</w:t>
      </w:r>
    </w:p>
    <w:p>
      <w:pPr>
        <w:keepNext w:val="0"/>
        <w:numPr>
          <w:ilvl w:val="0"/>
          <w:numId w:val="10"/>
        </w:numPr>
        <w:spacing w:before="0" w:after="60" w:line="276" w:lineRule="auto"/>
      </w:pPr>
      <w:r>
        <w:rPr>
          <w:rFonts w:ascii="Calibri" w:hAnsi="Calibri"/>
          <w:color w:val="243746"/>
          <w:sz w:val="22"/>
        </w:rPr>
        <w:t>A participant may belong to only one team.</w:t>
      </w:r>
    </w:p>
    <w:p>
      <w:pPr>
        <w:keepNext w:val="0"/>
        <w:numPr>
          <w:ilvl w:val="0"/>
          <w:numId w:val="10"/>
        </w:numPr>
        <w:spacing w:before="0" w:after="60" w:line="276" w:lineRule="auto"/>
      </w:pPr>
      <w:r>
        <w:rPr>
          <w:rFonts w:ascii="Calibri" w:hAnsi="Calibri"/>
          <w:color w:val="243746"/>
          <w:sz w:val="22"/>
        </w:rPr>
        <w:t>Organizers, judges and anyone with prior access to confidential challenge material may not compete.</w:t>
      </w:r>
    </w:p>
    <w:p>
      <w:pPr>
        <w:keepNext w:val="0"/>
        <w:numPr>
          <w:ilvl w:val="0"/>
          <w:numId w:val="10"/>
        </w:numPr>
        <w:spacing w:before="0" w:after="60" w:line="276" w:lineRule="auto"/>
      </w:pPr>
      <w:r>
        <w:rPr>
          <w:rFonts w:ascii="Calibri" w:hAnsi="Calibri"/>
          <w:color w:val="243746"/>
          <w:sz w:val="22"/>
        </w:rPr>
        <w:t>All team members must satisfy the eligibility requirements stated in the event announcement.</w:t>
      </w:r>
    </w:p>
    <w:p>
      <w:pPr>
        <w:keepNext w:val="0"/>
        <w:numPr>
          <w:ilvl w:val="0"/>
          <w:numId w:val="10"/>
        </w:numPr>
        <w:spacing w:before="0" w:after="60" w:line="276" w:lineRule="auto"/>
      </w:pPr>
      <w:r>
        <w:rPr>
          <w:rFonts w:ascii="Calibri" w:hAnsi="Calibri"/>
          <w:color w:val="243746"/>
          <w:sz w:val="22"/>
        </w:rPr>
        <w:t>The registered team composition is locked when the build phase begins. Changes require approval from the Event Head.</w:t>
      </w:r>
    </w:p>
    <w:p>
      <w:pPr>
        <w:pStyle w:val="Heading2"/>
      </w:pPr>
      <w:r>
        <w:t>Challenge selection</w:t>
      </w:r>
    </w:p>
    <w:p>
      <w:pPr>
        <w:keepNext w:val="0"/>
        <w:numPr>
          <w:ilvl w:val="0"/>
          <w:numId w:val="10"/>
        </w:numPr>
        <w:spacing w:before="0" w:after="60" w:line="276" w:lineRule="auto"/>
      </w:pPr>
      <w:r>
        <w:rPr>
          <w:rFonts w:ascii="Calibri" w:hAnsi="Calibri"/>
          <w:color w:val="243746"/>
          <w:sz w:val="22"/>
        </w:rPr>
        <w:t>The organizing committee publishes a set of approved business challenges at the start of the event.</w:t>
      </w:r>
    </w:p>
    <w:p>
      <w:pPr>
        <w:keepNext w:val="0"/>
        <w:numPr>
          <w:ilvl w:val="0"/>
          <w:numId w:val="10"/>
        </w:numPr>
        <w:spacing w:before="0" w:after="60" w:line="276" w:lineRule="auto"/>
      </w:pPr>
      <w:r>
        <w:rPr>
          <w:rFonts w:ascii="Calibri" w:hAnsi="Calibri"/>
          <w:color w:val="243746"/>
          <w:sz w:val="22"/>
        </w:rPr>
        <w:t>Teams select one challenge during the problem-selection window. Multiple teams may select the same challenge.</w:t>
      </w:r>
    </w:p>
    <w:p>
      <w:pPr>
        <w:keepNext w:val="0"/>
        <w:numPr>
          <w:ilvl w:val="0"/>
          <w:numId w:val="10"/>
        </w:numPr>
        <w:spacing w:before="0" w:after="60" w:line="276" w:lineRule="auto"/>
      </w:pPr>
      <w:r>
        <w:rPr>
          <w:rFonts w:ascii="Calibri" w:hAnsi="Calibri"/>
          <w:color w:val="243746"/>
          <w:sz w:val="22"/>
        </w:rPr>
        <w:t>Teams must solve the selected challenge; changing challenges after development begins requires Rules Desk approval.</w:t>
      </w:r>
    </w:p>
    <w:p>
      <w:pPr>
        <w:keepNext w:val="0"/>
        <w:numPr>
          <w:ilvl w:val="0"/>
          <w:numId w:val="10"/>
        </w:numPr>
        <w:spacing w:before="0" w:after="60" w:line="276" w:lineRule="auto"/>
      </w:pPr>
      <w:r>
        <w:rPr>
          <w:rFonts w:ascii="Calibri" w:hAnsi="Calibri"/>
          <w:color w:val="243746"/>
          <w:sz w:val="22"/>
        </w:rPr>
        <w:t>Only the supplied case facts, permitted public information and clearly labelled assumptions may be used as evidence.</w:t>
      </w:r>
    </w:p>
    <w:p>
      <w:pPr>
        <w:pStyle w:val="Heading2"/>
      </w:pPr>
      <w:r>
        <w:t>Rule precedence</w:t>
      </w:r>
    </w:p>
    <w:p>
      <w:pPr>
        <w:keepNext w:val="0"/>
        <w:spacing w:before="0" w:after="80" w:line="300" w:lineRule="auto"/>
      </w:pPr>
      <w:r>
        <w:rPr>
          <w:rFonts w:ascii="Calibri" w:hAnsi="Calibri"/>
          <w:b w:val="0"/>
          <w:i w:val="0"/>
          <w:color w:val="243746"/>
          <w:sz w:val="22"/>
        </w:rPr>
        <w:t>If two instructions conflict, the following order applies:</w:t>
      </w:r>
    </w:p>
    <w:p>
      <w:pPr>
        <w:keepNext w:val="0"/>
        <w:numPr>
          <w:ilvl w:val="0"/>
          <w:numId w:val="11"/>
        </w:numPr>
        <w:spacing w:before="0" w:after="60" w:line="276" w:lineRule="auto"/>
      </w:pPr>
      <w:r>
        <w:rPr>
          <w:rFonts w:ascii="Calibri" w:hAnsi="Calibri"/>
          <w:color w:val="243746"/>
          <w:sz w:val="22"/>
        </w:rPr>
        <w:t>Written event addenda or official announcements issued by the Event Head.</w:t>
      </w:r>
    </w:p>
    <w:p>
      <w:pPr>
        <w:keepNext w:val="0"/>
        <w:numPr>
          <w:ilvl w:val="0"/>
          <w:numId w:val="11"/>
        </w:numPr>
        <w:spacing w:before="0" w:after="60" w:line="276" w:lineRule="auto"/>
      </w:pPr>
      <w:r>
        <w:rPr>
          <w:rFonts w:ascii="Calibri" w:hAnsi="Calibri"/>
          <w:color w:val="243746"/>
          <w:sz w:val="22"/>
        </w:rPr>
        <w:t>This rulebook.</w:t>
      </w:r>
    </w:p>
    <w:p>
      <w:pPr>
        <w:keepNext w:val="0"/>
        <w:numPr>
          <w:ilvl w:val="0"/>
          <w:numId w:val="11"/>
        </w:numPr>
        <w:spacing w:before="0" w:after="60" w:line="276" w:lineRule="auto"/>
      </w:pPr>
      <w:r>
        <w:rPr>
          <w:rFonts w:ascii="Calibri" w:hAnsi="Calibri"/>
          <w:color w:val="243746"/>
          <w:sz w:val="22"/>
        </w:rPr>
        <w:t>The selected challenge pack and its data files.</w:t>
      </w:r>
    </w:p>
    <w:p>
      <w:pPr>
        <w:keepNext w:val="0"/>
        <w:numPr>
          <w:ilvl w:val="0"/>
          <w:numId w:val="11"/>
        </w:numPr>
        <w:spacing w:before="0" w:after="60" w:line="276" w:lineRule="auto"/>
      </w:pPr>
      <w:r>
        <w:rPr>
          <w:rFonts w:ascii="Calibri" w:hAnsi="Calibri"/>
          <w:color w:val="243746"/>
          <w:sz w:val="22"/>
        </w:rPr>
        <w:t>General examples, starter material and verbal guidance.</w:t>
      </w:r>
    </w:p>
    <w:p>
      <w:pPr>
        <w:keepNext w:val="0"/>
        <w:spacing w:before="0" w:after="120" w:line="300" w:lineRule="auto"/>
      </w:pPr>
      <w:r>
        <w:rPr>
          <w:rFonts w:ascii="Calibri" w:hAnsi="Calibri"/>
          <w:b w:val="0"/>
          <w:i/>
          <w:color w:val="667788"/>
          <w:sz w:val="21"/>
        </w:rPr>
        <w:t>A verbal answer changes a rule only after the clarification is posted through an official written channel.</w:t>
      </w:r>
    </w:p>
    <w:p>
      <w:pPr>
        <w:pStyle w:val="Heading1"/>
        <w:pageBreakBefore/>
      </w:pPr>
      <w:r>
        <w:t>2. Required agent swarm</w:t>
      </w:r>
    </w:p>
    <w:p>
      <w:pPr>
        <w:keepNext w:val="0"/>
        <w:spacing w:before="0" w:after="120" w:line="300" w:lineRule="auto"/>
      </w:pPr>
      <w:r>
        <w:rPr>
          <w:rFonts w:ascii="Calibri" w:hAnsi="Calibri"/>
          <w:b w:val="0"/>
          <w:i w:val="0"/>
          <w:color w:val="243746"/>
          <w:sz w:val="22"/>
        </w:rPr>
        <w:t>Every submission must contain between four and eight identifiable agents. The same underlying model may power several agents, but each agent must have a separate role instruction, responsibility, input and visible output.</w:t>
      </w:r>
    </w:p>
    <w:p>
      <w:pPr>
        <w:pStyle w:val="Heading2"/>
      </w:pPr>
      <w:r>
        <w:t>Mandatory agents</w:t>
      </w:r>
    </w:p>
    <w:tbl>
      <w:tblPr>
        <w:tblW w:type="dxa" w:w="9360"/>
        <w:tblLayout w:type="fixed"/>
        <w:tblLook w:firstColumn="1" w:firstRow="1" w:lastColumn="0" w:lastRow="0" w:noHBand="0" w:noVBand="1" w:val="04A0"/>
        <w:jc w:val="left"/>
        <w:tblInd w:w="120" w:type="dxa"/>
        <w:tblBorders>
          <w:top w:val="single" w:sz="6" w:space="0" w:color="C9D3DC"/>
          <w:left w:val="single" w:sz="6" w:space="0" w:color="C9D3DC"/>
          <w:bottom w:val="single" w:sz="6" w:space="0" w:color="C9D3DC"/>
          <w:right w:val="single" w:sz="6" w:space="0" w:color="C9D3DC"/>
          <w:insideH w:val="single" w:sz="6" w:space="0" w:color="C9D3DC"/>
          <w:insideV w:val="single" w:sz="6" w:space="0" w:color="C9D3DC"/>
        </w:tblBorders>
      </w:tblPr>
      <w:tblGrid>
        <w:gridCol w:w="2100"/>
        <w:gridCol w:w="4480"/>
        <w:gridCol w:w="2780"/>
      </w:tblGrid>
      <w:tr>
        <w:trPr>
          <w:tblHeader w:val="true"/>
        </w:trPr>
        <w:tc>
          <w:tcPr>
            <w:tcW w:type="dxa" w:w="2100"/>
            <w:tcMar>
              <w:top w:w="90" w:type="dxa"/>
              <w:start w:w="120" w:type="dxa"/>
              <w:bottom w:w="90" w:type="dxa"/>
              <w:end w:w="120" w:type="dxa"/>
            </w:tcMar>
            <w:vAlign w:val="center"/>
            <w:shd w:fill="17324D"/>
          </w:tcPr>
          <w:p>
            <w:pPr>
              <w:keepNext w:val="0"/>
              <w:spacing w:before="0" w:after="0" w:line="252" w:lineRule="auto"/>
            </w:pPr>
            <w:r>
              <w:rPr>
                <w:rFonts w:ascii="Calibri" w:hAnsi="Calibri"/>
                <w:b/>
                <w:color w:val="FFFFFF"/>
                <w:sz w:val="19"/>
              </w:rPr>
              <w:t>Agent</w:t>
            </w:r>
          </w:p>
        </w:tc>
        <w:tc>
          <w:tcPr>
            <w:tcW w:type="dxa" w:w="4480"/>
            <w:tcMar>
              <w:top w:w="90" w:type="dxa"/>
              <w:start w:w="120" w:type="dxa"/>
              <w:bottom w:w="90" w:type="dxa"/>
              <w:end w:w="120" w:type="dxa"/>
            </w:tcMar>
            <w:vAlign w:val="center"/>
            <w:shd w:fill="17324D"/>
          </w:tcPr>
          <w:p>
            <w:pPr>
              <w:keepNext w:val="0"/>
              <w:spacing w:before="0" w:after="0" w:line="252" w:lineRule="auto"/>
            </w:pPr>
            <w:r>
              <w:rPr>
                <w:rFonts w:ascii="Calibri" w:hAnsi="Calibri"/>
                <w:b/>
                <w:color w:val="FFFFFF"/>
                <w:sz w:val="19"/>
              </w:rPr>
              <w:t>Required responsibility</w:t>
            </w:r>
          </w:p>
        </w:tc>
        <w:tc>
          <w:tcPr>
            <w:tcW w:type="dxa" w:w="2780"/>
            <w:tcMar>
              <w:top w:w="90" w:type="dxa"/>
              <w:start w:w="120" w:type="dxa"/>
              <w:bottom w:w="90" w:type="dxa"/>
              <w:end w:w="120" w:type="dxa"/>
            </w:tcMar>
            <w:vAlign w:val="center"/>
            <w:shd w:fill="17324D"/>
          </w:tcPr>
          <w:p>
            <w:pPr>
              <w:keepNext w:val="0"/>
              <w:spacing w:before="0" w:after="0" w:line="252" w:lineRule="auto"/>
            </w:pPr>
            <w:r>
              <w:rPr>
                <w:rFonts w:ascii="Calibri" w:hAnsi="Calibri"/>
                <w:b/>
                <w:color w:val="FFFFFF"/>
                <w:sz w:val="19"/>
              </w:rPr>
              <w:t>Minimum visible output</w:t>
            </w:r>
          </w:p>
        </w:tc>
      </w:tr>
      <w:tr>
        <w:tc>
          <w:tcPr>
            <w:tcW w:type="dxa" w:w="210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Business Research</w:t>
            </w:r>
          </w:p>
        </w:tc>
        <w:tc>
          <w:tcPr>
            <w:tcW w:type="dxa" w:w="448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Analyse market, customers, competitors, opportunity and risk.</w:t>
            </w:r>
          </w:p>
        </w:tc>
        <w:tc>
          <w:tcPr>
            <w:tcW w:type="dxa" w:w="278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Evidence-based business findings</w:t>
            </w:r>
          </w:p>
        </w:tc>
      </w:tr>
      <w:tr>
        <w:tc>
          <w:tcPr>
            <w:tcW w:type="dxa" w:w="2100"/>
            <w:shd w:fill="F8FAFB"/>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Finance</w:t>
            </w:r>
          </w:p>
        </w:tc>
        <w:tc>
          <w:tcPr>
            <w:tcW w:type="dxa" w:w="4480"/>
            <w:shd w:fill="F8FAFB"/>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Evaluate cost, revenue, affordability, profitability and financial risk.</w:t>
            </w:r>
          </w:p>
        </w:tc>
        <w:tc>
          <w:tcPr>
            <w:tcW w:type="dxa" w:w="2780"/>
            <w:shd w:fill="F8FAFB"/>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Financial recommendation and assumptions</w:t>
            </w:r>
          </w:p>
        </w:tc>
      </w:tr>
      <w:tr>
        <w:tc>
          <w:tcPr>
            <w:tcW w:type="dxa" w:w="210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Marketing and Sales</w:t>
            </w:r>
          </w:p>
        </w:tc>
        <w:tc>
          <w:tcPr>
            <w:tcW w:type="dxa" w:w="448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Define target customers, positioning, channels and acquisition strategy.</w:t>
            </w:r>
          </w:p>
        </w:tc>
        <w:tc>
          <w:tcPr>
            <w:tcW w:type="dxa" w:w="278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Go-to-market recommendation</w:t>
            </w:r>
          </w:p>
        </w:tc>
      </w:tr>
      <w:tr>
        <w:tc>
          <w:tcPr>
            <w:tcW w:type="dxa" w:w="2100"/>
            <w:shd w:fill="F8FAFB"/>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CEO</w:t>
            </w:r>
          </w:p>
        </w:tc>
        <w:tc>
          <w:tcPr>
            <w:tcW w:type="dxa" w:w="4480"/>
            <w:shd w:fill="F8FAFB"/>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Compare alternatives, resolve conflict and issue the final company decision.</w:t>
            </w:r>
          </w:p>
        </w:tc>
        <w:tc>
          <w:tcPr>
            <w:tcW w:type="dxa" w:w="2780"/>
            <w:shd w:fill="F8FAFB"/>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Decision, rationale, actions and KPIs</w:t>
            </w:r>
          </w:p>
        </w:tc>
      </w:tr>
    </w:tbl>
    <w:p>
      <w:pPr>
        <w:keepNext w:val="0"/>
        <w:spacing w:before="0" w:after="20" w:line="300" w:lineRule="auto"/>
      </w:pPr>
    </w:p>
    <w:p>
      <w:pPr>
        <w:pStyle w:val="Heading2"/>
      </w:pPr>
      <w:r>
        <w:t>Optional agents</w:t>
      </w:r>
    </w:p>
    <w:p>
      <w:pPr>
        <w:keepNext w:val="0"/>
        <w:spacing w:before="0" w:after="120" w:line="300" w:lineRule="auto"/>
      </w:pPr>
      <w:r>
        <w:rPr>
          <w:rFonts w:ascii="Calibri" w:hAnsi="Calibri"/>
          <w:b w:val="0"/>
          <w:i w:val="0"/>
          <w:color w:val="243746"/>
          <w:sz w:val="22"/>
        </w:rPr>
        <w:t>Teams may add Operations, Product, Supply Chain, Customer Experience, Human Resources, Risk, Compliance or Reviewer agents when they materially improve the selected solution.</w:t>
      </w:r>
    </w:p>
    <w:p>
      <w:pPr>
        <w:pStyle w:val="Heading2"/>
      </w:pPr>
      <w:r>
        <w:t>When an agent counts</w:t>
      </w:r>
    </w:p>
    <w:p>
      <w:pPr>
        <w:keepNext w:val="0"/>
        <w:numPr>
          <w:ilvl w:val="0"/>
          <w:numId w:val="10"/>
        </w:numPr>
        <w:spacing w:before="0" w:after="60" w:line="276" w:lineRule="auto"/>
      </w:pPr>
      <w:r>
        <w:rPr>
          <w:rFonts w:ascii="Calibri" w:hAnsi="Calibri"/>
          <w:color w:val="243746"/>
          <w:sz w:val="22"/>
        </w:rPr>
        <w:t>It has a distinct business responsibility.</w:t>
      </w:r>
    </w:p>
    <w:p>
      <w:pPr>
        <w:keepNext w:val="0"/>
        <w:numPr>
          <w:ilvl w:val="0"/>
          <w:numId w:val="10"/>
        </w:numPr>
        <w:spacing w:before="0" w:after="60" w:line="276" w:lineRule="auto"/>
      </w:pPr>
      <w:r>
        <w:rPr>
          <w:rFonts w:ascii="Calibri" w:hAnsi="Calibri"/>
          <w:color w:val="243746"/>
          <w:sz w:val="22"/>
        </w:rPr>
        <w:t>It is invoked separately or appears as an identifiable node in the workflow.</w:t>
      </w:r>
    </w:p>
    <w:p>
      <w:pPr>
        <w:keepNext w:val="0"/>
        <w:numPr>
          <w:ilvl w:val="0"/>
          <w:numId w:val="10"/>
        </w:numPr>
        <w:spacing w:before="0" w:after="60" w:line="276" w:lineRule="auto"/>
      </w:pPr>
      <w:r>
        <w:rPr>
          <w:rFonts w:ascii="Calibri" w:hAnsi="Calibri"/>
          <w:color w:val="243746"/>
          <w:sz w:val="22"/>
        </w:rPr>
        <w:t>Its output is visible in the execution trace.</w:t>
      </w:r>
    </w:p>
    <w:p>
      <w:pPr>
        <w:keepNext w:val="0"/>
        <w:numPr>
          <w:ilvl w:val="0"/>
          <w:numId w:val="10"/>
        </w:numPr>
        <w:spacing w:before="0" w:after="60" w:line="276" w:lineRule="auto"/>
      </w:pPr>
      <w:r>
        <w:rPr>
          <w:rFonts w:ascii="Calibri" w:hAnsi="Calibri"/>
          <w:color w:val="243746"/>
          <w:sz w:val="22"/>
        </w:rPr>
        <w:t>Its work is used, challenged or considered by another agent.</w:t>
      </w:r>
    </w:p>
    <w:tbl>
      <w:tblPr>
        <w:tblW w:type="dxa" w:w="9360"/>
        <w:jc w:val="left"/>
        <w:tblLayout w:type="fixed"/>
        <w:tblLook w:firstColumn="1" w:firstRow="1" w:lastColumn="0" w:lastRow="0" w:noHBand="0" w:noVBand="1" w:val="04A0"/>
        <w:tblInd w:w="120" w:type="dxa"/>
        <w:tblBorders>
          <w:top w:val="single" w:sz="8" w:space="0" w:color="9B1C1C"/>
          <w:left w:val="single" w:sz="8" w:space="0" w:color="9B1C1C"/>
          <w:bottom w:val="single" w:sz="8" w:space="0" w:color="9B1C1C"/>
          <w:right w:val="single" w:sz="8" w:space="0" w:color="9B1C1C"/>
          <w:insideH w:val="single" w:sz="8" w:space="0" w:color="9B1C1C"/>
          <w:insideV w:val="single" w:sz="8" w:space="0" w:color="9B1C1C"/>
        </w:tblBorders>
      </w:tblPr>
      <w:tblGrid>
        <w:gridCol w:w="9360"/>
      </w:tblGrid>
      <w:tr>
        <w:trPr>
          <w:cantSplit w:val="true"/>
        </w:trPr>
        <w:tc>
          <w:tcPr>
            <w:tcW w:type="dxa" w:w="9360"/>
            <w:tcMar>
              <w:top w:w="90" w:type="dxa"/>
              <w:start w:w="120" w:type="dxa"/>
              <w:bottom w:w="90" w:type="dxa"/>
              <w:end w:w="120" w:type="dxa"/>
            </w:tcMar>
            <w:vAlign w:val="center"/>
            <w:shd w:fill="FDECEC"/>
          </w:tcPr>
          <w:p>
            <w:pPr>
              <w:keepNext w:val="0"/>
              <w:spacing w:before="0" w:after="0" w:line="276" w:lineRule="auto"/>
            </w:pPr>
            <w:r>
              <w:rPr>
                <w:rFonts w:ascii="Calibri" w:hAnsi="Calibri"/>
                <w:b/>
                <w:color w:val="9B1C1C"/>
                <w:sz w:val="21"/>
              </w:rPr>
              <w:t xml:space="preserve">NOT AN AGENT  </w:t>
            </w:r>
            <w:r>
              <w:rPr>
                <w:rFonts w:ascii="Calibri" w:hAnsi="Calibri"/>
                <w:color w:val="243746"/>
                <w:sz w:val="21"/>
              </w:rPr>
              <w:t>Renaming sections of one generated answer as Finance, Marketing and CEO does not demonstrate a multi-agent system.</w:t>
            </w:r>
          </w:p>
        </w:tc>
      </w:tr>
    </w:tbl>
    <w:p>
      <w:pPr>
        <w:keepNext w:val="0"/>
        <w:spacing w:before="0" w:after="20" w:line="300" w:lineRule="auto"/>
      </w:pPr>
    </w:p>
    <w:p>
      <w:pPr>
        <w:pStyle w:val="Heading2"/>
      </w:pPr>
      <w:r>
        <w:t>Agent limit</w:t>
      </w:r>
    </w:p>
    <w:p>
      <w:pPr>
        <w:keepNext w:val="0"/>
        <w:spacing w:before="0" w:after="120" w:line="300" w:lineRule="auto"/>
      </w:pPr>
      <w:r>
        <w:rPr>
          <w:rFonts w:ascii="Calibri" w:hAnsi="Calibri"/>
          <w:b w:val="0"/>
          <w:i w:val="0"/>
          <w:color w:val="243746"/>
          <w:sz w:val="22"/>
        </w:rPr>
        <w:t>A maximum of eight agents may be presented as part of the judged workflow. Background utility functions, databases and deterministic tools do not count as agents.</w:t>
      </w:r>
    </w:p>
    <w:p>
      <w:pPr>
        <w:pStyle w:val="Heading1"/>
        <w:pageBreakBefore/>
      </w:pPr>
      <w:r>
        <w:t>3. Boardroom collaboration protocol</w:t>
      </w:r>
    </w:p>
    <w:p>
      <w:pPr>
        <w:keepNext w:val="0"/>
        <w:spacing w:before="0" w:after="120" w:line="300" w:lineRule="auto"/>
      </w:pPr>
      <w:r>
        <w:rPr>
          <w:rFonts w:ascii="Calibri" w:hAnsi="Calibri"/>
          <w:b w:val="0"/>
          <w:i w:val="0"/>
          <w:color w:val="243746"/>
          <w:sz w:val="22"/>
        </w:rPr>
        <w:t>The judged workflow must follow the five-stage boardroom protocol. Teams may implement the stages sequentially, in parallel or as a graph, provided the required evidence is visible.</w:t>
      </w:r>
    </w:p>
    <w:tbl>
      <w:tblPr>
        <w:tblW w:type="dxa" w:w="9360"/>
        <w:tblLayout w:type="fixed"/>
        <w:tblLook w:firstColumn="1" w:firstRow="1" w:lastColumn="0" w:lastRow="0" w:noHBand="0" w:noVBand="1" w:val="04A0"/>
        <w:jc w:val="left"/>
        <w:tblInd w:w="120" w:type="dxa"/>
        <w:tblBorders>
          <w:top w:val="single" w:sz="6" w:space="0" w:color="C9D3DC"/>
          <w:left w:val="single" w:sz="6" w:space="0" w:color="C9D3DC"/>
          <w:bottom w:val="single" w:sz="6" w:space="0" w:color="C9D3DC"/>
          <w:right w:val="single" w:sz="6" w:space="0" w:color="C9D3DC"/>
          <w:insideH w:val="single" w:sz="6" w:space="0" w:color="C9D3DC"/>
          <w:insideV w:val="single" w:sz="6" w:space="0" w:color="C9D3DC"/>
        </w:tblBorders>
      </w:tblPr>
      <w:tblGrid>
        <w:gridCol w:w="1500"/>
        <w:gridCol w:w="4800"/>
        <w:gridCol w:w="3060"/>
      </w:tblGrid>
      <w:tr>
        <w:trPr>
          <w:tblHeader w:val="true"/>
        </w:trPr>
        <w:tc>
          <w:tcPr>
            <w:tcW w:type="dxa" w:w="1500"/>
            <w:tcMar>
              <w:top w:w="90" w:type="dxa"/>
              <w:start w:w="120" w:type="dxa"/>
              <w:bottom w:w="90" w:type="dxa"/>
              <w:end w:w="120" w:type="dxa"/>
            </w:tcMar>
            <w:vAlign w:val="center"/>
            <w:shd w:fill="007C83"/>
          </w:tcPr>
          <w:p>
            <w:pPr>
              <w:keepNext w:val="0"/>
              <w:spacing w:before="0" w:after="0" w:line="252" w:lineRule="auto"/>
            </w:pPr>
            <w:r>
              <w:rPr>
                <w:rFonts w:ascii="Calibri" w:hAnsi="Calibri"/>
                <w:b/>
                <w:color w:val="FFFFFF"/>
                <w:sz w:val="19"/>
              </w:rPr>
              <w:t>Stage</w:t>
            </w:r>
          </w:p>
        </w:tc>
        <w:tc>
          <w:tcPr>
            <w:tcW w:type="dxa" w:w="4800"/>
            <w:tcMar>
              <w:top w:w="90" w:type="dxa"/>
              <w:start w:w="120" w:type="dxa"/>
              <w:bottom w:w="90" w:type="dxa"/>
              <w:end w:w="120" w:type="dxa"/>
            </w:tcMar>
            <w:vAlign w:val="center"/>
            <w:shd w:fill="007C83"/>
          </w:tcPr>
          <w:p>
            <w:pPr>
              <w:keepNext w:val="0"/>
              <w:spacing w:before="0" w:after="0" w:line="252" w:lineRule="auto"/>
            </w:pPr>
            <w:r>
              <w:rPr>
                <w:rFonts w:ascii="Calibri" w:hAnsi="Calibri"/>
                <w:b/>
                <w:color w:val="FFFFFF"/>
                <w:sz w:val="19"/>
              </w:rPr>
              <w:t>Required behaviour</w:t>
            </w:r>
          </w:p>
        </w:tc>
        <w:tc>
          <w:tcPr>
            <w:tcW w:type="dxa" w:w="3060"/>
            <w:tcMar>
              <w:top w:w="90" w:type="dxa"/>
              <w:start w:w="120" w:type="dxa"/>
              <w:bottom w:w="90" w:type="dxa"/>
              <w:end w:w="120" w:type="dxa"/>
            </w:tcMar>
            <w:vAlign w:val="center"/>
            <w:shd w:fill="007C83"/>
          </w:tcPr>
          <w:p>
            <w:pPr>
              <w:keepNext w:val="0"/>
              <w:spacing w:before="0" w:after="0" w:line="252" w:lineRule="auto"/>
            </w:pPr>
            <w:r>
              <w:rPr>
                <w:rFonts w:ascii="Calibri" w:hAnsi="Calibri"/>
                <w:b/>
                <w:color w:val="FFFFFF"/>
                <w:sz w:val="19"/>
              </w:rPr>
              <w:t>Evidence judges should see</w:t>
            </w:r>
          </w:p>
        </w:tc>
      </w:tr>
      <w:tr>
        <w:tc>
          <w:tcPr>
            <w:tcW w:type="dxa" w:w="150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1. Analyse</w:t>
            </w:r>
          </w:p>
        </w:tc>
        <w:tc>
          <w:tcPr>
            <w:tcW w:type="dxa" w:w="480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Department agents independently examine the same business brief.</w:t>
            </w:r>
          </w:p>
        </w:tc>
        <w:tc>
          <w:tcPr>
            <w:tcW w:type="dxa" w:w="306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Separate department recommendations</w:t>
            </w:r>
          </w:p>
        </w:tc>
      </w:tr>
      <w:tr>
        <w:tc>
          <w:tcPr>
            <w:tcW w:type="dxa" w:w="1500"/>
            <w:shd w:fill="F8FAFB"/>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2. Share</w:t>
            </w:r>
          </w:p>
        </w:tc>
        <w:tc>
          <w:tcPr>
            <w:tcW w:type="dxa" w:w="4800"/>
            <w:shd w:fill="F8FAFB"/>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Agents exchange relevant findings, constraints and assumptions.</w:t>
            </w:r>
          </w:p>
        </w:tc>
        <w:tc>
          <w:tcPr>
            <w:tcW w:type="dxa" w:w="3060"/>
            <w:shd w:fill="F8FAFB"/>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Messages, shared state or trace entries</w:t>
            </w:r>
          </w:p>
        </w:tc>
      </w:tr>
      <w:tr>
        <w:tc>
          <w:tcPr>
            <w:tcW w:type="dxa" w:w="150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3. Challenge</w:t>
            </w:r>
          </w:p>
        </w:tc>
        <w:tc>
          <w:tcPr>
            <w:tcW w:type="dxa" w:w="480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At least one agent questions or rejects a material recommendation.</w:t>
            </w:r>
          </w:p>
        </w:tc>
        <w:tc>
          <w:tcPr>
            <w:tcW w:type="dxa" w:w="306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A specific disagreement and response</w:t>
            </w:r>
          </w:p>
        </w:tc>
      </w:tr>
      <w:tr>
        <w:tc>
          <w:tcPr>
            <w:tcW w:type="dxa" w:w="1500"/>
            <w:shd w:fill="F8FAFB"/>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4. Compare</w:t>
            </w:r>
          </w:p>
        </w:tc>
        <w:tc>
          <w:tcPr>
            <w:tcW w:type="dxa" w:w="4800"/>
            <w:shd w:fill="F8FAFB"/>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The swarm considers at least two viable business strategies.</w:t>
            </w:r>
          </w:p>
        </w:tc>
        <w:tc>
          <w:tcPr>
            <w:tcW w:type="dxa" w:w="3060"/>
            <w:shd w:fill="F8FAFB"/>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Trade-off comparison</w:t>
            </w:r>
          </w:p>
        </w:tc>
      </w:tr>
      <w:tr>
        <w:tc>
          <w:tcPr>
            <w:tcW w:type="dxa" w:w="150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5. Decide</w:t>
            </w:r>
          </w:p>
        </w:tc>
        <w:tc>
          <w:tcPr>
            <w:tcW w:type="dxa" w:w="480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The CEO selects and explains one coordinated strategy.</w:t>
            </w:r>
          </w:p>
        </w:tc>
        <w:tc>
          <w:tcPr>
            <w:tcW w:type="dxa" w:w="306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Final business decision</w:t>
            </w:r>
          </w:p>
        </w:tc>
      </w:tr>
    </w:tbl>
    <w:p>
      <w:pPr>
        <w:keepNext w:val="0"/>
        <w:spacing w:before="0" w:after="20" w:line="300" w:lineRule="auto"/>
      </w:pPr>
    </w:p>
    <w:p>
      <w:pPr>
        <w:pStyle w:val="Heading2"/>
      </w:pPr>
      <w:r>
        <w:t>CEO decision requirements</w:t>
      </w:r>
    </w:p>
    <w:p>
      <w:pPr>
        <w:keepNext w:val="0"/>
        <w:spacing w:before="0" w:after="80" w:line="300" w:lineRule="auto"/>
      </w:pPr>
      <w:r>
        <w:rPr>
          <w:rFonts w:ascii="Calibri" w:hAnsi="Calibri"/>
          <w:b w:val="0"/>
          <w:i w:val="0"/>
          <w:color w:val="243746"/>
          <w:sz w:val="22"/>
        </w:rPr>
        <w:t>The final CEO output must contain all of the following:</w:t>
      </w:r>
    </w:p>
    <w:p>
      <w:pPr>
        <w:keepNext w:val="0"/>
        <w:numPr>
          <w:ilvl w:val="0"/>
          <w:numId w:val="10"/>
        </w:numPr>
        <w:spacing w:before="0" w:after="60" w:line="276" w:lineRule="auto"/>
      </w:pPr>
      <w:r>
        <w:rPr>
          <w:rFonts w:ascii="Calibri" w:hAnsi="Calibri"/>
          <w:color w:val="243746"/>
          <w:sz w:val="22"/>
        </w:rPr>
        <w:t>The selected decision in one clear statement.</w:t>
      </w:r>
    </w:p>
    <w:p>
      <w:pPr>
        <w:keepNext w:val="0"/>
        <w:numPr>
          <w:ilvl w:val="0"/>
          <w:numId w:val="10"/>
        </w:numPr>
        <w:spacing w:before="0" w:after="60" w:line="276" w:lineRule="auto"/>
      </w:pPr>
      <w:r>
        <w:rPr>
          <w:rFonts w:ascii="Calibri" w:hAnsi="Calibri"/>
          <w:color w:val="243746"/>
          <w:sz w:val="22"/>
        </w:rPr>
        <w:t>The department evidence that influenced the decision.</w:t>
      </w:r>
    </w:p>
    <w:p>
      <w:pPr>
        <w:keepNext w:val="0"/>
        <w:numPr>
          <w:ilvl w:val="0"/>
          <w:numId w:val="10"/>
        </w:numPr>
        <w:spacing w:before="0" w:after="60" w:line="276" w:lineRule="auto"/>
      </w:pPr>
      <w:r>
        <w:rPr>
          <w:rFonts w:ascii="Calibri" w:hAnsi="Calibri"/>
          <w:color w:val="243746"/>
          <w:sz w:val="22"/>
        </w:rPr>
        <w:t>At least one rejected alternative and the reason for rejection.</w:t>
      </w:r>
    </w:p>
    <w:p>
      <w:pPr>
        <w:keepNext w:val="0"/>
        <w:numPr>
          <w:ilvl w:val="0"/>
          <w:numId w:val="10"/>
        </w:numPr>
        <w:spacing w:before="0" w:after="60" w:line="276" w:lineRule="auto"/>
      </w:pPr>
      <w:r>
        <w:rPr>
          <w:rFonts w:ascii="Calibri" w:hAnsi="Calibri"/>
          <w:color w:val="243746"/>
          <w:sz w:val="22"/>
        </w:rPr>
        <w:t>Important trade-offs, risks and assumptions.</w:t>
      </w:r>
    </w:p>
    <w:p>
      <w:pPr>
        <w:keepNext w:val="0"/>
        <w:numPr>
          <w:ilvl w:val="0"/>
          <w:numId w:val="10"/>
        </w:numPr>
        <w:spacing w:before="0" w:after="60" w:line="276" w:lineRule="auto"/>
      </w:pPr>
      <w:r>
        <w:rPr>
          <w:rFonts w:ascii="Calibri" w:hAnsi="Calibri"/>
          <w:color w:val="243746"/>
          <w:sz w:val="22"/>
        </w:rPr>
        <w:t>A practical implementation sequence with responsible functions.</w:t>
      </w:r>
    </w:p>
    <w:p>
      <w:pPr>
        <w:keepNext w:val="0"/>
        <w:numPr>
          <w:ilvl w:val="0"/>
          <w:numId w:val="10"/>
        </w:numPr>
        <w:spacing w:before="0" w:after="60" w:line="276" w:lineRule="auto"/>
      </w:pPr>
      <w:r>
        <w:rPr>
          <w:rFonts w:ascii="Calibri" w:hAnsi="Calibri"/>
          <w:color w:val="243746"/>
          <w:sz w:val="22"/>
        </w:rPr>
        <w:t>At least three measurable business KPIs.</w:t>
      </w:r>
    </w:p>
    <w:p>
      <w:pPr>
        <w:pStyle w:val="Heading2"/>
      </w:pPr>
      <w:r>
        <w:t>Termination and control</w:t>
      </w:r>
    </w:p>
    <w:p>
      <w:pPr>
        <w:keepNext w:val="0"/>
        <w:numPr>
          <w:ilvl w:val="0"/>
          <w:numId w:val="10"/>
        </w:numPr>
        <w:spacing w:before="0" w:after="60" w:line="276" w:lineRule="auto"/>
      </w:pPr>
      <w:r>
        <w:rPr>
          <w:rFonts w:ascii="Calibri" w:hAnsi="Calibri"/>
          <w:color w:val="243746"/>
          <w:sz w:val="22"/>
        </w:rPr>
        <w:t>The workflow must terminate without an uncontrolled conversation loop.</w:t>
      </w:r>
    </w:p>
    <w:p>
      <w:pPr>
        <w:keepNext w:val="0"/>
        <w:numPr>
          <w:ilvl w:val="0"/>
          <w:numId w:val="10"/>
        </w:numPr>
        <w:spacing w:before="0" w:after="60" w:line="276" w:lineRule="auto"/>
      </w:pPr>
      <w:r>
        <w:rPr>
          <w:rFonts w:ascii="Calibri" w:hAnsi="Calibri"/>
          <w:color w:val="243746"/>
          <w:sz w:val="22"/>
        </w:rPr>
        <w:t>The system must cap debate at three review cycles unless the selected design documents and justifies an alternative limit.</w:t>
      </w:r>
    </w:p>
    <w:p>
      <w:pPr>
        <w:keepNext w:val="0"/>
        <w:numPr>
          <w:ilvl w:val="0"/>
          <w:numId w:val="10"/>
        </w:numPr>
        <w:spacing w:before="0" w:after="60" w:line="276" w:lineRule="auto"/>
      </w:pPr>
      <w:r>
        <w:rPr>
          <w:rFonts w:ascii="Calibri" w:hAnsi="Calibri"/>
          <w:color w:val="243746"/>
          <w:sz w:val="22"/>
        </w:rPr>
        <w:t>The system must provide a final result even when one non-CEO agent fails.</w:t>
      </w:r>
    </w:p>
    <w:p>
      <w:pPr>
        <w:pStyle w:val="Heading1"/>
        <w:pageBreakBefore/>
      </w:pPr>
      <w:r>
        <w:t>4. Technical and build rules</w:t>
      </w:r>
    </w:p>
    <w:p>
      <w:pPr>
        <w:pStyle w:val="Heading2"/>
      </w:pPr>
      <w:r>
        <w:t>Allowed implementation methods</w:t>
      </w:r>
    </w:p>
    <w:p>
      <w:pPr>
        <w:keepNext w:val="0"/>
        <w:spacing w:before="0" w:after="120" w:line="300" w:lineRule="auto"/>
      </w:pPr>
      <w:r>
        <w:rPr>
          <w:rFonts w:ascii="Calibri" w:hAnsi="Calibri"/>
          <w:b w:val="0"/>
          <w:i w:val="0"/>
          <w:color w:val="243746"/>
          <w:sz w:val="22"/>
        </w:rPr>
        <w:t>Teams may use code, low-code or no-code systems. Examples include Python, LangGraph, CrewAI, AutoGen, n8n, workflow builders, local models and hosted model APIs. A complete website is optional.</w:t>
      </w:r>
    </w:p>
    <w:p>
      <w:pPr>
        <w:pStyle w:val="Heading2"/>
      </w:pPr>
      <w:r>
        <w:t>Permitted resources</w:t>
      </w:r>
    </w:p>
    <w:p>
      <w:pPr>
        <w:keepNext w:val="0"/>
        <w:numPr>
          <w:ilvl w:val="0"/>
          <w:numId w:val="10"/>
        </w:numPr>
        <w:spacing w:before="0" w:after="60" w:line="276" w:lineRule="auto"/>
      </w:pPr>
      <w:r>
        <w:rPr>
          <w:rFonts w:ascii="Calibri" w:hAnsi="Calibri"/>
          <w:color w:val="243746"/>
          <w:sz w:val="22"/>
        </w:rPr>
        <w:t>Public documentation, tutorials, libraries and model APIs.</w:t>
      </w:r>
    </w:p>
    <w:p>
      <w:pPr>
        <w:keepNext w:val="0"/>
        <w:numPr>
          <w:ilvl w:val="0"/>
          <w:numId w:val="10"/>
        </w:numPr>
        <w:spacing w:before="0" w:after="60" w:line="276" w:lineRule="auto"/>
      </w:pPr>
      <w:r>
        <w:rPr>
          <w:rFonts w:ascii="Calibri" w:hAnsi="Calibri"/>
          <w:color w:val="243746"/>
          <w:sz w:val="22"/>
        </w:rPr>
        <w:t>Reusable setup code, UI components, authentication boilerplate and deployment templates.</w:t>
      </w:r>
    </w:p>
    <w:p>
      <w:pPr>
        <w:keepNext w:val="0"/>
        <w:numPr>
          <w:ilvl w:val="0"/>
          <w:numId w:val="10"/>
        </w:numPr>
        <w:spacing w:before="0" w:after="60" w:line="276" w:lineRule="auto"/>
      </w:pPr>
      <w:r>
        <w:rPr>
          <w:rFonts w:ascii="Calibri" w:hAnsi="Calibri"/>
          <w:color w:val="243746"/>
          <w:sz w:val="22"/>
        </w:rPr>
        <w:t>Open-source agent frameworks and clearly disclosed third-party components.</w:t>
      </w:r>
    </w:p>
    <w:p>
      <w:pPr>
        <w:keepNext w:val="0"/>
        <w:numPr>
          <w:ilvl w:val="0"/>
          <w:numId w:val="10"/>
        </w:numPr>
        <w:spacing w:before="0" w:after="60" w:line="276" w:lineRule="auto"/>
      </w:pPr>
      <w:r>
        <w:rPr>
          <w:rFonts w:ascii="Calibri" w:hAnsi="Calibri"/>
          <w:color w:val="243746"/>
          <w:sz w:val="22"/>
        </w:rPr>
        <w:t>Generative AI tools for coding, debugging, design and documentation.</w:t>
      </w:r>
    </w:p>
    <w:p>
      <w:pPr>
        <w:keepNext w:val="0"/>
        <w:numPr>
          <w:ilvl w:val="0"/>
          <w:numId w:val="10"/>
        </w:numPr>
        <w:spacing w:before="0" w:after="60" w:line="276" w:lineRule="auto"/>
      </w:pPr>
      <w:r>
        <w:rPr>
          <w:rFonts w:ascii="Calibri" w:hAnsi="Calibri"/>
          <w:color w:val="243746"/>
          <w:sz w:val="22"/>
        </w:rPr>
        <w:t>Provided datasets and public or properly licensed data relevant to the challenge.</w:t>
      </w:r>
    </w:p>
    <w:p>
      <w:pPr>
        <w:pStyle w:val="Heading2"/>
      </w:pPr>
      <w:r>
        <w:t>Work that must be created during the event</w:t>
      </w:r>
    </w:p>
    <w:p>
      <w:pPr>
        <w:keepNext w:val="0"/>
        <w:numPr>
          <w:ilvl w:val="0"/>
          <w:numId w:val="10"/>
        </w:numPr>
        <w:spacing w:before="0" w:after="60" w:line="276" w:lineRule="auto"/>
      </w:pPr>
      <w:r>
        <w:rPr>
          <w:rFonts w:ascii="Calibri" w:hAnsi="Calibri"/>
          <w:color w:val="243746"/>
          <w:sz w:val="22"/>
        </w:rPr>
        <w:t>The selected business workflow and agent architecture.</w:t>
      </w:r>
    </w:p>
    <w:p>
      <w:pPr>
        <w:keepNext w:val="0"/>
        <w:numPr>
          <w:ilvl w:val="0"/>
          <w:numId w:val="10"/>
        </w:numPr>
        <w:spacing w:before="0" w:after="60" w:line="276" w:lineRule="auto"/>
      </w:pPr>
      <w:r>
        <w:rPr>
          <w:rFonts w:ascii="Calibri" w:hAnsi="Calibri"/>
          <w:color w:val="243746"/>
          <w:sz w:val="22"/>
        </w:rPr>
        <w:t>Agent instructions, responsibilities and collaboration logic.</w:t>
      </w:r>
    </w:p>
    <w:p>
      <w:pPr>
        <w:keepNext w:val="0"/>
        <w:numPr>
          <w:ilvl w:val="0"/>
          <w:numId w:val="10"/>
        </w:numPr>
        <w:spacing w:before="0" w:after="60" w:line="276" w:lineRule="auto"/>
      </w:pPr>
      <w:r>
        <w:rPr>
          <w:rFonts w:ascii="Calibri" w:hAnsi="Calibri"/>
          <w:color w:val="243746"/>
          <w:sz w:val="22"/>
        </w:rPr>
        <w:t>The boardroom decision process and surprise-adaptation flow.</w:t>
      </w:r>
    </w:p>
    <w:p>
      <w:pPr>
        <w:keepNext w:val="0"/>
        <w:numPr>
          <w:ilvl w:val="0"/>
          <w:numId w:val="10"/>
        </w:numPr>
        <w:spacing w:before="0" w:after="60" w:line="276" w:lineRule="auto"/>
      </w:pPr>
      <w:r>
        <w:rPr>
          <w:rFonts w:ascii="Calibri" w:hAnsi="Calibri"/>
          <w:color w:val="243746"/>
          <w:sz w:val="22"/>
        </w:rPr>
        <w:t>Challenge-specific outputs, traces and implementation plan.</w:t>
      </w:r>
    </w:p>
    <w:p>
      <w:pPr>
        <w:pStyle w:val="Heading2"/>
      </w:pPr>
      <w:r>
        <w:t>Functional requirements</w:t>
      </w:r>
    </w:p>
    <w:p>
      <w:pPr>
        <w:keepNext w:val="0"/>
        <w:numPr>
          <w:ilvl w:val="0"/>
          <w:numId w:val="10"/>
        </w:numPr>
        <w:spacing w:before="0" w:after="60" w:line="276" w:lineRule="auto"/>
      </w:pPr>
      <w:r>
        <w:rPr>
          <w:rFonts w:ascii="Calibri" w:hAnsi="Calibri"/>
          <w:color w:val="243746"/>
          <w:sz w:val="22"/>
        </w:rPr>
        <w:t>Inputs and outputs must be visible to judges.</w:t>
      </w:r>
    </w:p>
    <w:p>
      <w:pPr>
        <w:keepNext w:val="0"/>
        <w:numPr>
          <w:ilvl w:val="0"/>
          <w:numId w:val="10"/>
        </w:numPr>
        <w:spacing w:before="0" w:after="60" w:line="276" w:lineRule="auto"/>
      </w:pPr>
      <w:r>
        <w:rPr>
          <w:rFonts w:ascii="Calibri" w:hAnsi="Calibri"/>
          <w:color w:val="243746"/>
          <w:sz w:val="22"/>
        </w:rPr>
        <w:t>The final result must not be completely hardcoded.</w:t>
      </w:r>
    </w:p>
    <w:p>
      <w:pPr>
        <w:keepNext w:val="0"/>
        <w:numPr>
          <w:ilvl w:val="0"/>
          <w:numId w:val="10"/>
        </w:numPr>
        <w:spacing w:before="0" w:after="60" w:line="276" w:lineRule="auto"/>
      </w:pPr>
      <w:r>
        <w:rPr>
          <w:rFonts w:ascii="Calibri" w:hAnsi="Calibri"/>
          <w:color w:val="243746"/>
          <w:sz w:val="22"/>
        </w:rPr>
        <w:t>The system must preserve an execution trace or equivalent audit record.</w:t>
      </w:r>
    </w:p>
    <w:p>
      <w:pPr>
        <w:keepNext w:val="0"/>
        <w:numPr>
          <w:ilvl w:val="0"/>
          <w:numId w:val="10"/>
        </w:numPr>
        <w:spacing w:before="0" w:after="60" w:line="276" w:lineRule="auto"/>
      </w:pPr>
      <w:r>
        <w:rPr>
          <w:rFonts w:ascii="Calibri" w:hAnsi="Calibri"/>
          <w:color w:val="243746"/>
          <w:sz w:val="22"/>
        </w:rPr>
        <w:t>Assumptions must be identified instead of presented as supplied facts.</w:t>
      </w:r>
    </w:p>
    <w:p>
      <w:pPr>
        <w:keepNext w:val="0"/>
        <w:numPr>
          <w:ilvl w:val="0"/>
          <w:numId w:val="10"/>
        </w:numPr>
        <w:spacing w:before="0" w:after="60" w:line="276" w:lineRule="auto"/>
      </w:pPr>
      <w:r>
        <w:rPr>
          <w:rFonts w:ascii="Calibri" w:hAnsi="Calibri"/>
          <w:color w:val="243746"/>
          <w:sz w:val="22"/>
        </w:rPr>
        <w:t>At least one failure-handling path must be demonstrated or documented.</w:t>
      </w:r>
    </w:p>
    <w:p>
      <w:pPr>
        <w:keepNext w:val="0"/>
        <w:numPr>
          <w:ilvl w:val="0"/>
          <w:numId w:val="10"/>
        </w:numPr>
        <w:spacing w:before="0" w:after="60" w:line="276" w:lineRule="auto"/>
      </w:pPr>
      <w:r>
        <w:rPr>
          <w:rFonts w:ascii="Calibri" w:hAnsi="Calibri"/>
          <w:color w:val="243746"/>
          <w:sz w:val="22"/>
        </w:rPr>
        <w:t>Another person must be able to run or inspect the project using the submitted instructions.</w:t>
      </w:r>
    </w:p>
    <w:tbl>
      <w:tblPr>
        <w:tblW w:type="dxa" w:w="9360"/>
        <w:jc w:val="left"/>
        <w:tblLayout w:type="fixed"/>
        <w:tblLook w:firstColumn="1" w:firstRow="1" w:lastColumn="0" w:lastRow="0" w:noHBand="0" w:noVBand="1" w:val="04A0"/>
        <w:tblInd w:w="120" w:type="dxa"/>
        <w:tblBorders>
          <w:top w:val="single" w:sz="8" w:space="0" w:color="D9A441"/>
          <w:left w:val="single" w:sz="8" w:space="0" w:color="D9A441"/>
          <w:bottom w:val="single" w:sz="8" w:space="0" w:color="D9A441"/>
          <w:right w:val="single" w:sz="8" w:space="0" w:color="D9A441"/>
          <w:insideH w:val="single" w:sz="8" w:space="0" w:color="D9A441"/>
          <w:insideV w:val="single" w:sz="8" w:space="0" w:color="D9A441"/>
        </w:tblBorders>
      </w:tblPr>
      <w:tblGrid>
        <w:gridCol w:w="9360"/>
      </w:tblGrid>
      <w:tr>
        <w:trPr>
          <w:cantSplit w:val="true"/>
        </w:trPr>
        <w:tc>
          <w:tcPr>
            <w:tcW w:type="dxa" w:w="9360"/>
            <w:tcMar>
              <w:top w:w="90" w:type="dxa"/>
              <w:start w:w="120" w:type="dxa"/>
              <w:bottom w:w="90" w:type="dxa"/>
              <w:end w:w="120" w:type="dxa"/>
            </w:tcMar>
            <w:vAlign w:val="center"/>
            <w:shd w:fill="FFF7E3"/>
          </w:tcPr>
          <w:p>
            <w:pPr>
              <w:keepNext w:val="0"/>
              <w:spacing w:before="0" w:after="0" w:line="276" w:lineRule="auto"/>
            </w:pPr>
            <w:r>
              <w:rPr>
                <w:rFonts w:ascii="Calibri" w:hAnsi="Calibri"/>
                <w:b/>
                <w:color w:val="D9A441"/>
                <w:sz w:val="21"/>
              </w:rPr>
              <w:t xml:space="preserve">COST NEUTRALITY  </w:t>
            </w:r>
            <w:r>
              <w:rPr>
                <w:rFonts w:ascii="Calibri" w:hAnsi="Calibri"/>
                <w:color w:val="243746"/>
                <w:sz w:val="21"/>
              </w:rPr>
              <w:t>Paid models, larger context windows and premium tools do not receive automatic credit. Participants are responsible for API costs, credits and rate limits.</w:t>
            </w:r>
          </w:p>
        </w:tc>
      </w:tr>
    </w:tbl>
    <w:p>
      <w:pPr>
        <w:keepNext w:val="0"/>
        <w:spacing w:before="0" w:after="20" w:line="300" w:lineRule="auto"/>
      </w:pPr>
    </w:p>
    <w:p>
      <w:pPr>
        <w:pStyle w:val="Heading1"/>
        <w:pageBreakBefore/>
      </w:pPr>
      <w:r>
        <w:t>5. Event schedule and surprise round</w:t>
      </w:r>
    </w:p>
    <w:p>
      <w:pPr>
        <w:pStyle w:val="Heading2"/>
      </w:pPr>
      <w:r>
        <w:t>Standard eight-hour schedule</w:t>
      </w:r>
    </w:p>
    <w:tbl>
      <w:tblPr>
        <w:tblW w:type="dxa" w:w="9360"/>
        <w:tblLayout w:type="fixed"/>
        <w:tblLook w:firstColumn="1" w:firstRow="1" w:lastColumn="0" w:lastRow="0" w:noHBand="0" w:noVBand="1" w:val="04A0"/>
        <w:jc w:val="left"/>
        <w:tblInd w:w="120" w:type="dxa"/>
        <w:tblBorders>
          <w:top w:val="single" w:sz="6" w:space="0" w:color="C9D3DC"/>
          <w:left w:val="single" w:sz="6" w:space="0" w:color="C9D3DC"/>
          <w:bottom w:val="single" w:sz="6" w:space="0" w:color="C9D3DC"/>
          <w:right w:val="single" w:sz="6" w:space="0" w:color="C9D3DC"/>
          <w:insideH w:val="single" w:sz="6" w:space="0" w:color="C9D3DC"/>
          <w:insideV w:val="single" w:sz="6" w:space="0" w:color="C9D3DC"/>
        </w:tblBorders>
      </w:tblPr>
      <w:tblGrid>
        <w:gridCol w:w="2100"/>
        <w:gridCol w:w="1400"/>
        <w:gridCol w:w="5860"/>
      </w:tblGrid>
      <w:tr>
        <w:trPr>
          <w:tblHeader w:val="true"/>
        </w:trPr>
        <w:tc>
          <w:tcPr>
            <w:tcW w:type="dxa" w:w="2100"/>
            <w:tcMar>
              <w:top w:w="90" w:type="dxa"/>
              <w:start w:w="120" w:type="dxa"/>
              <w:bottom w:w="90" w:type="dxa"/>
              <w:end w:w="120" w:type="dxa"/>
            </w:tcMar>
            <w:vAlign w:val="center"/>
            <w:shd w:fill="17324D"/>
          </w:tcPr>
          <w:p>
            <w:pPr>
              <w:keepNext w:val="0"/>
              <w:spacing w:before="0" w:after="0" w:line="252" w:lineRule="auto"/>
            </w:pPr>
            <w:r>
              <w:rPr>
                <w:rFonts w:ascii="Calibri" w:hAnsi="Calibri"/>
                <w:b/>
                <w:color w:val="FFFFFF"/>
                <w:sz w:val="19"/>
              </w:rPr>
              <w:t>Phase</w:t>
            </w:r>
          </w:p>
        </w:tc>
        <w:tc>
          <w:tcPr>
            <w:tcW w:type="dxa" w:w="1400"/>
            <w:tcMar>
              <w:top w:w="90" w:type="dxa"/>
              <w:start w:w="120" w:type="dxa"/>
              <w:bottom w:w="90" w:type="dxa"/>
              <w:end w:w="120" w:type="dxa"/>
            </w:tcMar>
            <w:vAlign w:val="center"/>
            <w:shd w:fill="17324D"/>
          </w:tcPr>
          <w:p>
            <w:pPr>
              <w:keepNext w:val="0"/>
              <w:spacing w:before="0" w:after="0" w:line="252" w:lineRule="auto"/>
            </w:pPr>
            <w:r>
              <w:rPr>
                <w:rFonts w:ascii="Calibri" w:hAnsi="Calibri"/>
                <w:b/>
                <w:color w:val="FFFFFF"/>
                <w:sz w:val="19"/>
              </w:rPr>
              <w:t>Duration</w:t>
            </w:r>
          </w:p>
        </w:tc>
        <w:tc>
          <w:tcPr>
            <w:tcW w:type="dxa" w:w="5860"/>
            <w:tcMar>
              <w:top w:w="90" w:type="dxa"/>
              <w:start w:w="120" w:type="dxa"/>
              <w:bottom w:w="90" w:type="dxa"/>
              <w:end w:w="120" w:type="dxa"/>
            </w:tcMar>
            <w:vAlign w:val="center"/>
            <w:shd w:fill="17324D"/>
          </w:tcPr>
          <w:p>
            <w:pPr>
              <w:keepNext w:val="0"/>
              <w:spacing w:before="0" w:after="0" w:line="252" w:lineRule="auto"/>
            </w:pPr>
            <w:r>
              <w:rPr>
                <w:rFonts w:ascii="Calibri" w:hAnsi="Calibri"/>
                <w:b/>
                <w:color w:val="FFFFFF"/>
                <w:sz w:val="19"/>
              </w:rPr>
              <w:t>Participant activity</w:t>
            </w:r>
          </w:p>
        </w:tc>
      </w:tr>
      <w:tr>
        <w:tc>
          <w:tcPr>
            <w:tcW w:type="dxa" w:w="210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Opening</w:t>
            </w:r>
          </w:p>
        </w:tc>
        <w:tc>
          <w:tcPr>
            <w:tcW w:type="dxa" w:w="140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20 min</w:t>
            </w:r>
          </w:p>
        </w:tc>
        <w:tc>
          <w:tcPr>
            <w:tcW w:type="dxa" w:w="586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Rules, challenge overview and example demonstration</w:t>
            </w:r>
          </w:p>
        </w:tc>
      </w:tr>
      <w:tr>
        <w:tc>
          <w:tcPr>
            <w:tcW w:type="dxa" w:w="2100"/>
            <w:shd w:fill="F8FAFB"/>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Problem selection</w:t>
            </w:r>
          </w:p>
        </w:tc>
        <w:tc>
          <w:tcPr>
            <w:tcW w:type="dxa" w:w="1400"/>
            <w:shd w:fill="F8FAFB"/>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20 min</w:t>
            </w:r>
          </w:p>
        </w:tc>
        <w:tc>
          <w:tcPr>
            <w:tcW w:type="dxa" w:w="5860"/>
            <w:shd w:fill="F8FAFB"/>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Select and understand one business case</w:t>
            </w:r>
          </w:p>
        </w:tc>
      </w:tr>
      <w:tr>
        <w:tc>
          <w:tcPr>
            <w:tcW w:type="dxa" w:w="210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Swarm design</w:t>
            </w:r>
          </w:p>
        </w:tc>
        <w:tc>
          <w:tcPr>
            <w:tcW w:type="dxa" w:w="140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45 min</w:t>
            </w:r>
          </w:p>
        </w:tc>
        <w:tc>
          <w:tcPr>
            <w:tcW w:type="dxa" w:w="586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Define agents, shared state and decision flow</w:t>
            </w:r>
          </w:p>
        </w:tc>
      </w:tr>
      <w:tr>
        <w:tc>
          <w:tcPr>
            <w:tcW w:type="dxa" w:w="2100"/>
            <w:shd w:fill="F8FAFB"/>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Initial build</w:t>
            </w:r>
          </w:p>
        </w:tc>
        <w:tc>
          <w:tcPr>
            <w:tcW w:type="dxa" w:w="1400"/>
            <w:shd w:fill="F8FAFB"/>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150 min</w:t>
            </w:r>
          </w:p>
        </w:tc>
        <w:tc>
          <w:tcPr>
            <w:tcW w:type="dxa" w:w="5860"/>
            <w:shd w:fill="F8FAFB"/>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Implement the working baseline system</w:t>
            </w:r>
          </w:p>
        </w:tc>
      </w:tr>
      <w:tr>
        <w:tc>
          <w:tcPr>
            <w:tcW w:type="dxa" w:w="210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Baseline testing</w:t>
            </w:r>
          </w:p>
        </w:tc>
        <w:tc>
          <w:tcPr>
            <w:tcW w:type="dxa" w:w="140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45 min</w:t>
            </w:r>
          </w:p>
        </w:tc>
        <w:tc>
          <w:tcPr>
            <w:tcW w:type="dxa" w:w="586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Generate and verify the initial decision</w:t>
            </w:r>
          </w:p>
        </w:tc>
      </w:tr>
      <w:tr>
        <w:tc>
          <w:tcPr>
            <w:tcW w:type="dxa" w:w="2100"/>
            <w:shd w:fill="F8FAFB"/>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Surprise release</w:t>
            </w:r>
          </w:p>
        </w:tc>
        <w:tc>
          <w:tcPr>
            <w:tcW w:type="dxa" w:w="1400"/>
            <w:shd w:fill="F8FAFB"/>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15 min</w:t>
            </w:r>
          </w:p>
        </w:tc>
        <w:tc>
          <w:tcPr>
            <w:tcW w:type="dxa" w:w="5860"/>
            <w:shd w:fill="F8FAFB"/>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Receive the changed business condition</w:t>
            </w:r>
          </w:p>
        </w:tc>
      </w:tr>
      <w:tr>
        <w:tc>
          <w:tcPr>
            <w:tcW w:type="dxa" w:w="210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Adaptation</w:t>
            </w:r>
          </w:p>
        </w:tc>
        <w:tc>
          <w:tcPr>
            <w:tcW w:type="dxa" w:w="140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60 min</w:t>
            </w:r>
          </w:p>
        </w:tc>
        <w:tc>
          <w:tcPr>
            <w:tcW w:type="dxa" w:w="586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Update, test and document the revised decision</w:t>
            </w:r>
          </w:p>
        </w:tc>
      </w:tr>
      <w:tr>
        <w:tc>
          <w:tcPr>
            <w:tcW w:type="dxa" w:w="2100"/>
            <w:shd w:fill="F8FAFB"/>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Submission</w:t>
            </w:r>
          </w:p>
        </w:tc>
        <w:tc>
          <w:tcPr>
            <w:tcW w:type="dxa" w:w="1400"/>
            <w:shd w:fill="F8FAFB"/>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30 min</w:t>
            </w:r>
          </w:p>
        </w:tc>
        <w:tc>
          <w:tcPr>
            <w:tcW w:type="dxa" w:w="5860"/>
            <w:shd w:fill="F8FAFB"/>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Upload all required files</w:t>
            </w:r>
          </w:p>
        </w:tc>
      </w:tr>
      <w:tr>
        <w:tc>
          <w:tcPr>
            <w:tcW w:type="dxa" w:w="210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Demos</w:t>
            </w:r>
          </w:p>
        </w:tc>
        <w:tc>
          <w:tcPr>
            <w:tcW w:type="dxa" w:w="140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90 min</w:t>
            </w:r>
          </w:p>
        </w:tc>
        <w:tc>
          <w:tcPr>
            <w:tcW w:type="dxa" w:w="586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Presentations and judging; timing may run in parallel</w:t>
            </w:r>
          </w:p>
        </w:tc>
      </w:tr>
    </w:tbl>
    <w:p>
      <w:pPr>
        <w:keepNext w:val="0"/>
        <w:spacing w:before="0" w:after="20" w:line="300" w:lineRule="auto"/>
      </w:pPr>
    </w:p>
    <w:p>
      <w:pPr>
        <w:pStyle w:val="Heading2"/>
      </w:pPr>
      <w:r>
        <w:t>Surprise round</w:t>
      </w:r>
    </w:p>
    <w:p>
      <w:pPr>
        <w:keepNext w:val="0"/>
        <w:spacing w:before="0" w:after="120" w:line="300" w:lineRule="auto"/>
      </w:pPr>
      <w:r>
        <w:rPr>
          <w:rFonts w:ascii="Calibri" w:hAnsi="Calibri"/>
          <w:b w:val="0"/>
          <w:i w:val="0"/>
          <w:color w:val="243746"/>
          <w:sz w:val="22"/>
        </w:rPr>
        <w:t>The surprise is a new business fact such as a budget reduction, cost increase, competitor entry, supplier failure, demand spike or negative customer response. It tests adaptability rather than speed alone.</w:t>
      </w:r>
    </w:p>
    <w:p>
      <w:pPr>
        <w:pStyle w:val="Heading2"/>
      </w:pPr>
      <w:r>
        <w:t>Required adaptation output</w:t>
      </w:r>
    </w:p>
    <w:p>
      <w:pPr>
        <w:keepNext w:val="0"/>
        <w:numPr>
          <w:ilvl w:val="0"/>
          <w:numId w:val="10"/>
        </w:numPr>
        <w:spacing w:before="0" w:after="60" w:line="276" w:lineRule="auto"/>
      </w:pPr>
      <w:r>
        <w:rPr>
          <w:rFonts w:ascii="Calibri" w:hAnsi="Calibri"/>
          <w:color w:val="243746"/>
          <w:sz w:val="22"/>
        </w:rPr>
        <w:t>Identify which original facts or assumptions changed.</w:t>
      </w:r>
    </w:p>
    <w:p>
      <w:pPr>
        <w:keepNext w:val="0"/>
        <w:numPr>
          <w:ilvl w:val="0"/>
          <w:numId w:val="10"/>
        </w:numPr>
        <w:spacing w:before="0" w:after="60" w:line="276" w:lineRule="auto"/>
      </w:pPr>
      <w:r>
        <w:rPr>
          <w:rFonts w:ascii="Calibri" w:hAnsi="Calibri"/>
          <w:color w:val="243746"/>
          <w:sz w:val="22"/>
        </w:rPr>
        <w:t>Re-run the agents materially affected by the surprise.</w:t>
      </w:r>
    </w:p>
    <w:p>
      <w:pPr>
        <w:keepNext w:val="0"/>
        <w:numPr>
          <w:ilvl w:val="0"/>
          <w:numId w:val="10"/>
        </w:numPr>
        <w:spacing w:before="0" w:after="60" w:line="276" w:lineRule="auto"/>
      </w:pPr>
      <w:r>
        <w:rPr>
          <w:rFonts w:ascii="Calibri" w:hAnsi="Calibri"/>
          <w:color w:val="243746"/>
          <w:sz w:val="22"/>
        </w:rPr>
        <w:t>Show a second boardroom comparison or review.</w:t>
      </w:r>
    </w:p>
    <w:p>
      <w:pPr>
        <w:keepNext w:val="0"/>
        <w:numPr>
          <w:ilvl w:val="0"/>
          <w:numId w:val="10"/>
        </w:numPr>
        <w:spacing w:before="0" w:after="60" w:line="276" w:lineRule="auto"/>
      </w:pPr>
      <w:r>
        <w:rPr>
          <w:rFonts w:ascii="Calibri" w:hAnsi="Calibri"/>
          <w:color w:val="243746"/>
          <w:sz w:val="22"/>
        </w:rPr>
        <w:t>Produce a revised CEO decision.</w:t>
      </w:r>
    </w:p>
    <w:p>
      <w:pPr>
        <w:keepNext w:val="0"/>
        <w:numPr>
          <w:ilvl w:val="0"/>
          <w:numId w:val="10"/>
        </w:numPr>
        <w:spacing w:before="0" w:after="60" w:line="276" w:lineRule="auto"/>
      </w:pPr>
      <w:r>
        <w:rPr>
          <w:rFonts w:ascii="Calibri" w:hAnsi="Calibri"/>
          <w:color w:val="243746"/>
          <w:sz w:val="22"/>
        </w:rPr>
        <w:t>Explain what changed, what remained stable and why.</w:t>
      </w:r>
    </w:p>
    <w:p>
      <w:pPr>
        <w:keepNext w:val="0"/>
        <w:numPr>
          <w:ilvl w:val="0"/>
          <w:numId w:val="10"/>
        </w:numPr>
        <w:spacing w:before="0" w:after="60" w:line="276" w:lineRule="auto"/>
      </w:pPr>
      <w:r>
        <w:rPr>
          <w:rFonts w:ascii="Calibri" w:hAnsi="Calibri"/>
          <w:color w:val="243746"/>
          <w:sz w:val="22"/>
        </w:rPr>
        <w:t>Update relevant KPIs, budget or implementation steps.</w:t>
      </w:r>
    </w:p>
    <w:tbl>
      <w:tblPr>
        <w:tblW w:type="dxa" w:w="9360"/>
        <w:jc w:val="left"/>
        <w:tblLayout w:type="fixed"/>
        <w:tblLook w:firstColumn="1" w:firstRow="1" w:lastColumn="0" w:lastRow="0" w:noHBand="0" w:noVBand="1" w:val="04A0"/>
        <w:tblInd w:w="120" w:type="dxa"/>
        <w:tblBorders>
          <w:top w:val="single" w:sz="8" w:space="0" w:color="007C83"/>
          <w:left w:val="single" w:sz="8" w:space="0" w:color="007C83"/>
          <w:bottom w:val="single" w:sz="8" w:space="0" w:color="007C83"/>
          <w:right w:val="single" w:sz="8" w:space="0" w:color="007C83"/>
          <w:insideH w:val="single" w:sz="8" w:space="0" w:color="007C83"/>
          <w:insideV w:val="single" w:sz="8" w:space="0" w:color="007C83"/>
        </w:tblBorders>
      </w:tblPr>
      <w:tblGrid>
        <w:gridCol w:w="9360"/>
      </w:tblGrid>
      <w:tr>
        <w:trPr>
          <w:cantSplit w:val="true"/>
        </w:trPr>
        <w:tc>
          <w:tcPr>
            <w:tcW w:type="dxa" w:w="9360"/>
            <w:tcMar>
              <w:top w:w="90" w:type="dxa"/>
              <w:start w:w="120" w:type="dxa"/>
              <w:bottom w:w="90" w:type="dxa"/>
              <w:end w:w="120" w:type="dxa"/>
            </w:tcMar>
            <w:vAlign w:val="center"/>
            <w:shd w:fill="E8F4F4"/>
          </w:tcPr>
          <w:p>
            <w:pPr>
              <w:keepNext w:val="0"/>
              <w:spacing w:before="0" w:after="0" w:line="276" w:lineRule="auto"/>
            </w:pPr>
            <w:r>
              <w:rPr>
                <w:rFonts w:ascii="Calibri" w:hAnsi="Calibri"/>
                <w:b/>
                <w:color w:val="007C83"/>
                <w:sz w:val="21"/>
              </w:rPr>
              <w:t xml:space="preserve">NO FULL REBUILD  </w:t>
            </w:r>
            <w:r>
              <w:rPr>
                <w:rFonts w:ascii="Calibri" w:hAnsi="Calibri"/>
                <w:color w:val="243746"/>
                <w:sz w:val="21"/>
              </w:rPr>
              <w:t>The surprise will remain within the selected business challenge. A well-designed system should adapt through changed inputs or logic, not require a completely new application.</w:t>
            </w:r>
          </w:p>
        </w:tc>
      </w:tr>
    </w:tbl>
    <w:p>
      <w:pPr>
        <w:keepNext w:val="0"/>
        <w:spacing w:before="0" w:after="20" w:line="300" w:lineRule="auto"/>
      </w:pPr>
    </w:p>
    <w:p>
      <w:pPr>
        <w:pStyle w:val="Heading1"/>
        <w:pageBreakBefore/>
      </w:pPr>
      <w:r>
        <w:t>6. Submission package</w:t>
      </w:r>
    </w:p>
    <w:p>
      <w:pPr>
        <w:keepNext w:val="0"/>
        <w:spacing w:before="0" w:after="120" w:line="300" w:lineRule="auto"/>
      </w:pPr>
      <w:r>
        <w:rPr>
          <w:rFonts w:ascii="Calibri" w:hAnsi="Calibri"/>
          <w:b w:val="0"/>
          <w:i w:val="0"/>
          <w:color w:val="243746"/>
          <w:sz w:val="22"/>
        </w:rPr>
        <w:t>A submission is complete only when the required materials are accessible before the deadline. The organizing committee will publish the submission portal and exact timestamp in the event notice.</w:t>
      </w:r>
    </w:p>
    <w:tbl>
      <w:tblPr>
        <w:tblW w:type="dxa" w:w="9360"/>
        <w:tblLayout w:type="fixed"/>
        <w:tblLook w:firstColumn="1" w:firstRow="1" w:lastColumn="0" w:lastRow="0" w:noHBand="0" w:noVBand="1" w:val="04A0"/>
        <w:jc w:val="left"/>
        <w:tblInd w:w="120" w:type="dxa"/>
        <w:tblBorders>
          <w:top w:val="single" w:sz="6" w:space="0" w:color="C9D3DC"/>
          <w:left w:val="single" w:sz="6" w:space="0" w:color="C9D3DC"/>
          <w:bottom w:val="single" w:sz="6" w:space="0" w:color="C9D3DC"/>
          <w:right w:val="single" w:sz="6" w:space="0" w:color="C9D3DC"/>
          <w:insideH w:val="single" w:sz="6" w:space="0" w:color="C9D3DC"/>
          <w:insideV w:val="single" w:sz="6" w:space="0" w:color="C9D3DC"/>
        </w:tblBorders>
      </w:tblPr>
      <w:tblGrid>
        <w:gridCol w:w="1950"/>
        <w:gridCol w:w="4870"/>
        <w:gridCol w:w="2540"/>
      </w:tblGrid>
      <w:tr>
        <w:trPr>
          <w:tblHeader w:val="true"/>
        </w:trPr>
        <w:tc>
          <w:tcPr>
            <w:tcW w:type="dxa" w:w="1950"/>
            <w:tcMar>
              <w:top w:w="90" w:type="dxa"/>
              <w:start w:w="120" w:type="dxa"/>
              <w:bottom w:w="90" w:type="dxa"/>
              <w:end w:w="120" w:type="dxa"/>
            </w:tcMar>
            <w:vAlign w:val="center"/>
            <w:shd w:fill="007C83"/>
          </w:tcPr>
          <w:p>
            <w:pPr>
              <w:keepNext w:val="0"/>
              <w:spacing w:before="0" w:after="0" w:line="252" w:lineRule="auto"/>
            </w:pPr>
            <w:r>
              <w:rPr>
                <w:rFonts w:ascii="Calibri" w:hAnsi="Calibri"/>
                <w:b/>
                <w:color w:val="FFFFFF"/>
                <w:sz w:val="19"/>
              </w:rPr>
              <w:t>Item</w:t>
            </w:r>
          </w:p>
        </w:tc>
        <w:tc>
          <w:tcPr>
            <w:tcW w:type="dxa" w:w="4870"/>
            <w:tcMar>
              <w:top w:w="90" w:type="dxa"/>
              <w:start w:w="120" w:type="dxa"/>
              <w:bottom w:w="90" w:type="dxa"/>
              <w:end w:w="120" w:type="dxa"/>
            </w:tcMar>
            <w:vAlign w:val="center"/>
            <w:shd w:fill="007C83"/>
          </w:tcPr>
          <w:p>
            <w:pPr>
              <w:keepNext w:val="0"/>
              <w:spacing w:before="0" w:after="0" w:line="252" w:lineRule="auto"/>
            </w:pPr>
            <w:r>
              <w:rPr>
                <w:rFonts w:ascii="Calibri" w:hAnsi="Calibri"/>
                <w:b/>
                <w:color w:val="FFFFFF"/>
                <w:sz w:val="19"/>
              </w:rPr>
              <w:t>Required content</w:t>
            </w:r>
          </w:p>
        </w:tc>
        <w:tc>
          <w:tcPr>
            <w:tcW w:type="dxa" w:w="2540"/>
            <w:tcMar>
              <w:top w:w="90" w:type="dxa"/>
              <w:start w:w="120" w:type="dxa"/>
              <w:bottom w:w="90" w:type="dxa"/>
              <w:end w:w="120" w:type="dxa"/>
            </w:tcMar>
            <w:vAlign w:val="center"/>
            <w:shd w:fill="007C83"/>
          </w:tcPr>
          <w:p>
            <w:pPr>
              <w:keepNext w:val="0"/>
              <w:spacing w:before="0" w:after="0" w:line="252" w:lineRule="auto"/>
            </w:pPr>
            <w:r>
              <w:rPr>
                <w:rFonts w:ascii="Calibri" w:hAnsi="Calibri"/>
                <w:b/>
                <w:color w:val="FFFFFF"/>
                <w:sz w:val="19"/>
              </w:rPr>
              <w:t>Accepted form</w:t>
            </w:r>
          </w:p>
        </w:tc>
      </w:tr>
      <w:tr>
        <w:tc>
          <w:tcPr>
            <w:tcW w:type="dxa" w:w="195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Source or workflow</w:t>
            </w:r>
          </w:p>
        </w:tc>
        <w:tc>
          <w:tcPr>
            <w:tcW w:type="dxa" w:w="487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Project code, notebook or exported workflow with dependencies.</w:t>
            </w:r>
          </w:p>
        </w:tc>
        <w:tc>
          <w:tcPr>
            <w:tcW w:type="dxa" w:w="254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Repository link or ZIP</w:t>
            </w:r>
          </w:p>
        </w:tc>
      </w:tr>
      <w:tr>
        <w:tc>
          <w:tcPr>
            <w:tcW w:type="dxa" w:w="1950"/>
            <w:shd w:fill="F8FAFB"/>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README</w:t>
            </w:r>
          </w:p>
        </w:tc>
        <w:tc>
          <w:tcPr>
            <w:tcW w:type="dxa" w:w="4870"/>
            <w:shd w:fill="F8FAFB"/>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Problem, setup, agents, workflow, tools, limitations and run steps.</w:t>
            </w:r>
          </w:p>
        </w:tc>
        <w:tc>
          <w:tcPr>
            <w:tcW w:type="dxa" w:w="2540"/>
            <w:shd w:fill="F8FAFB"/>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Markdown or PDF</w:t>
            </w:r>
          </w:p>
        </w:tc>
      </w:tr>
      <w:tr>
        <w:tc>
          <w:tcPr>
            <w:tcW w:type="dxa" w:w="195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Architecture</w:t>
            </w:r>
          </w:p>
        </w:tc>
        <w:tc>
          <w:tcPr>
            <w:tcW w:type="dxa" w:w="487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Agents, inputs, communication, shared state and CEO path.</w:t>
            </w:r>
          </w:p>
        </w:tc>
        <w:tc>
          <w:tcPr>
            <w:tcW w:type="dxa" w:w="254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PNG, PDF or slide</w:t>
            </w:r>
          </w:p>
        </w:tc>
      </w:tr>
      <w:tr>
        <w:tc>
          <w:tcPr>
            <w:tcW w:type="dxa" w:w="1950"/>
            <w:shd w:fill="F8FAFB"/>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Baseline evidence</w:t>
            </w:r>
          </w:p>
        </w:tc>
        <w:tc>
          <w:tcPr>
            <w:tcW w:type="dxa" w:w="4870"/>
            <w:shd w:fill="F8FAFB"/>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Initial department outputs, debate trace and CEO decision.</w:t>
            </w:r>
          </w:p>
        </w:tc>
        <w:tc>
          <w:tcPr>
            <w:tcW w:type="dxa" w:w="2540"/>
            <w:shd w:fill="F8FAFB"/>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JSON, text, PDF or screenshots</w:t>
            </w:r>
          </w:p>
        </w:tc>
      </w:tr>
      <w:tr>
        <w:tc>
          <w:tcPr>
            <w:tcW w:type="dxa" w:w="195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Surprise evidence</w:t>
            </w:r>
          </w:p>
        </w:tc>
        <w:tc>
          <w:tcPr>
            <w:tcW w:type="dxa" w:w="487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Changed input, revised trace and updated CEO decision.</w:t>
            </w:r>
          </w:p>
        </w:tc>
        <w:tc>
          <w:tcPr>
            <w:tcW w:type="dxa" w:w="254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JSON, text, PDF or screenshots</w:t>
            </w:r>
          </w:p>
        </w:tc>
      </w:tr>
      <w:tr>
        <w:tc>
          <w:tcPr>
            <w:tcW w:type="dxa" w:w="1950"/>
            <w:shd w:fill="F8FAFB"/>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Business summary</w:t>
            </w:r>
          </w:p>
        </w:tc>
        <w:tc>
          <w:tcPr>
            <w:tcW w:type="dxa" w:w="4870"/>
            <w:shd w:fill="F8FAFB"/>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Implementation steps, assumptions, risks and at least three KPIs.</w:t>
            </w:r>
          </w:p>
        </w:tc>
        <w:tc>
          <w:tcPr>
            <w:tcW w:type="dxa" w:w="2540"/>
            <w:shd w:fill="F8FAFB"/>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Maximum two pages</w:t>
            </w:r>
          </w:p>
        </w:tc>
      </w:tr>
      <w:tr>
        <w:tc>
          <w:tcPr>
            <w:tcW w:type="dxa" w:w="195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Pitch deck</w:t>
            </w:r>
          </w:p>
        </w:tc>
        <w:tc>
          <w:tcPr>
            <w:tcW w:type="dxa" w:w="487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Problem, swarm, demo, decision, adaptation and impact.</w:t>
            </w:r>
          </w:p>
        </w:tc>
        <w:tc>
          <w:tcPr>
            <w:tcW w:type="dxa" w:w="254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Maximum five slides</w:t>
            </w:r>
          </w:p>
        </w:tc>
      </w:tr>
    </w:tbl>
    <w:p>
      <w:pPr>
        <w:keepNext w:val="0"/>
        <w:spacing w:before="0" w:after="20" w:line="300" w:lineRule="auto"/>
      </w:pPr>
    </w:p>
    <w:p>
      <w:pPr>
        <w:pStyle w:val="Heading2"/>
      </w:pPr>
      <w:r>
        <w:t>README minimum contents</w:t>
      </w:r>
    </w:p>
    <w:p>
      <w:pPr>
        <w:keepNext w:val="0"/>
        <w:numPr>
          <w:ilvl w:val="0"/>
          <w:numId w:val="10"/>
        </w:numPr>
        <w:spacing w:before="0" w:after="60" w:line="276" w:lineRule="auto"/>
      </w:pPr>
      <w:r>
        <w:rPr>
          <w:rFonts w:ascii="Calibri" w:hAnsi="Calibri"/>
          <w:color w:val="243746"/>
          <w:sz w:val="22"/>
        </w:rPr>
        <w:t>Team name and member names.</w:t>
      </w:r>
    </w:p>
    <w:p>
      <w:pPr>
        <w:keepNext w:val="0"/>
        <w:numPr>
          <w:ilvl w:val="0"/>
          <w:numId w:val="10"/>
        </w:numPr>
        <w:spacing w:before="0" w:after="60" w:line="276" w:lineRule="auto"/>
      </w:pPr>
      <w:r>
        <w:rPr>
          <w:rFonts w:ascii="Calibri" w:hAnsi="Calibri"/>
          <w:color w:val="243746"/>
          <w:sz w:val="22"/>
        </w:rPr>
        <w:t>Selected challenge and one-paragraph solution summary.</w:t>
      </w:r>
    </w:p>
    <w:p>
      <w:pPr>
        <w:keepNext w:val="0"/>
        <w:numPr>
          <w:ilvl w:val="0"/>
          <w:numId w:val="10"/>
        </w:numPr>
        <w:spacing w:before="0" w:after="60" w:line="276" w:lineRule="auto"/>
      </w:pPr>
      <w:r>
        <w:rPr>
          <w:rFonts w:ascii="Calibri" w:hAnsi="Calibri"/>
          <w:color w:val="243746"/>
          <w:sz w:val="22"/>
        </w:rPr>
        <w:t>Agent list with roles, inputs and outputs.</w:t>
      </w:r>
    </w:p>
    <w:p>
      <w:pPr>
        <w:keepNext w:val="0"/>
        <w:numPr>
          <w:ilvl w:val="0"/>
          <w:numId w:val="10"/>
        </w:numPr>
        <w:spacing w:before="0" w:after="60" w:line="276" w:lineRule="auto"/>
      </w:pPr>
      <w:r>
        <w:rPr>
          <w:rFonts w:ascii="Calibri" w:hAnsi="Calibri"/>
          <w:color w:val="243746"/>
          <w:sz w:val="22"/>
        </w:rPr>
        <w:t>Installation and execution instructions.</w:t>
      </w:r>
    </w:p>
    <w:p>
      <w:pPr>
        <w:keepNext w:val="0"/>
        <w:numPr>
          <w:ilvl w:val="0"/>
          <w:numId w:val="10"/>
        </w:numPr>
        <w:spacing w:before="0" w:after="60" w:line="276" w:lineRule="auto"/>
      </w:pPr>
      <w:r>
        <w:rPr>
          <w:rFonts w:ascii="Calibri" w:hAnsi="Calibri"/>
          <w:color w:val="243746"/>
          <w:sz w:val="22"/>
        </w:rPr>
        <w:t>Models, frameworks, datasets and external services used.</w:t>
      </w:r>
    </w:p>
    <w:p>
      <w:pPr>
        <w:keepNext w:val="0"/>
        <w:numPr>
          <w:ilvl w:val="0"/>
          <w:numId w:val="10"/>
        </w:numPr>
        <w:spacing w:before="0" w:after="60" w:line="276" w:lineRule="auto"/>
      </w:pPr>
      <w:r>
        <w:rPr>
          <w:rFonts w:ascii="Calibri" w:hAnsi="Calibri"/>
          <w:color w:val="243746"/>
          <w:sz w:val="22"/>
        </w:rPr>
        <w:t>Known limitations and failure-handling behaviour.</w:t>
      </w:r>
    </w:p>
    <w:p>
      <w:pPr>
        <w:keepNext w:val="0"/>
        <w:numPr>
          <w:ilvl w:val="0"/>
          <w:numId w:val="10"/>
        </w:numPr>
        <w:spacing w:before="0" w:after="60" w:line="276" w:lineRule="auto"/>
      </w:pPr>
      <w:r>
        <w:rPr>
          <w:rFonts w:ascii="Calibri" w:hAnsi="Calibri"/>
          <w:color w:val="243746"/>
          <w:sz w:val="22"/>
        </w:rPr>
        <w:t>Declaration of pre-existing or reused components.</w:t>
      </w:r>
    </w:p>
    <w:p>
      <w:pPr>
        <w:pStyle w:val="Heading2"/>
      </w:pPr>
      <w:r>
        <w:t>Submission naming</w:t>
      </w:r>
    </w:p>
    <w:p>
      <w:pPr>
        <w:keepNext w:val="0"/>
        <w:spacing w:before="0" w:after="120" w:line="300" w:lineRule="auto"/>
      </w:pPr>
      <w:r>
        <w:rPr>
          <w:rFonts w:ascii="Calibri" w:hAnsi="Calibri"/>
          <w:b w:val="0"/>
          <w:i w:val="0"/>
          <w:color w:val="243746"/>
          <w:sz w:val="22"/>
        </w:rPr>
        <w:t>Use the format TeamName_AgenticSwarm. Ensure judges have access to private repositories and linked files until results are announced.</w:t>
      </w:r>
    </w:p>
    <w:p>
      <w:pPr>
        <w:pStyle w:val="Heading1"/>
        <w:pageBreakBefore/>
      </w:pPr>
      <w:r>
        <w:t>7. Demonstration and judging procedure</w:t>
      </w:r>
    </w:p>
    <w:p>
      <w:pPr>
        <w:pStyle w:val="Heading2"/>
      </w:pPr>
      <w:r>
        <w:t>Eight-minute presentation slot</w:t>
      </w:r>
    </w:p>
    <w:tbl>
      <w:tblPr>
        <w:tblW w:type="dxa" w:w="9360"/>
        <w:tblLayout w:type="fixed"/>
        <w:tblLook w:firstColumn="1" w:firstRow="1" w:lastColumn="0" w:lastRow="0" w:noHBand="0" w:noVBand="1" w:val="04A0"/>
        <w:jc w:val="left"/>
        <w:tblInd w:w="120" w:type="dxa"/>
        <w:tblBorders>
          <w:top w:val="single" w:sz="6" w:space="0" w:color="C9D3DC"/>
          <w:left w:val="single" w:sz="6" w:space="0" w:color="C9D3DC"/>
          <w:bottom w:val="single" w:sz="6" w:space="0" w:color="C9D3DC"/>
          <w:right w:val="single" w:sz="6" w:space="0" w:color="C9D3DC"/>
          <w:insideH w:val="single" w:sz="6" w:space="0" w:color="C9D3DC"/>
          <w:insideV w:val="single" w:sz="6" w:space="0" w:color="C9D3DC"/>
        </w:tblBorders>
      </w:tblPr>
      <w:tblGrid>
        <w:gridCol w:w="2500"/>
        <w:gridCol w:w="1600"/>
        <w:gridCol w:w="5260"/>
      </w:tblGrid>
      <w:tr>
        <w:trPr>
          <w:tblHeader w:val="true"/>
        </w:trPr>
        <w:tc>
          <w:tcPr>
            <w:tcW w:type="dxa" w:w="2500"/>
            <w:tcMar>
              <w:top w:w="90" w:type="dxa"/>
              <w:start w:w="120" w:type="dxa"/>
              <w:bottom w:w="90" w:type="dxa"/>
              <w:end w:w="120" w:type="dxa"/>
            </w:tcMar>
            <w:vAlign w:val="center"/>
            <w:shd w:fill="17324D"/>
          </w:tcPr>
          <w:p>
            <w:pPr>
              <w:keepNext w:val="0"/>
              <w:spacing w:before="0" w:after="0" w:line="252" w:lineRule="auto"/>
            </w:pPr>
            <w:r>
              <w:rPr>
                <w:rFonts w:ascii="Calibri" w:hAnsi="Calibri"/>
                <w:b/>
                <w:color w:val="FFFFFF"/>
                <w:sz w:val="19"/>
              </w:rPr>
              <w:t>Segment</w:t>
            </w:r>
          </w:p>
        </w:tc>
        <w:tc>
          <w:tcPr>
            <w:tcW w:type="dxa" w:w="1600"/>
            <w:tcMar>
              <w:top w:w="90" w:type="dxa"/>
              <w:start w:w="120" w:type="dxa"/>
              <w:bottom w:w="90" w:type="dxa"/>
              <w:end w:w="120" w:type="dxa"/>
            </w:tcMar>
            <w:vAlign w:val="center"/>
            <w:shd w:fill="17324D"/>
          </w:tcPr>
          <w:p>
            <w:pPr>
              <w:keepNext w:val="0"/>
              <w:spacing w:before="0" w:after="0" w:line="252" w:lineRule="auto"/>
            </w:pPr>
            <w:r>
              <w:rPr>
                <w:rFonts w:ascii="Calibri" w:hAnsi="Calibri"/>
                <w:b/>
                <w:color w:val="FFFFFF"/>
                <w:sz w:val="19"/>
              </w:rPr>
              <w:t>Maximum time</w:t>
            </w:r>
          </w:p>
        </w:tc>
        <w:tc>
          <w:tcPr>
            <w:tcW w:type="dxa" w:w="5260"/>
            <w:tcMar>
              <w:top w:w="90" w:type="dxa"/>
              <w:start w:w="120" w:type="dxa"/>
              <w:bottom w:w="90" w:type="dxa"/>
              <w:end w:w="120" w:type="dxa"/>
            </w:tcMar>
            <w:vAlign w:val="center"/>
            <w:shd w:fill="17324D"/>
          </w:tcPr>
          <w:p>
            <w:pPr>
              <w:keepNext w:val="0"/>
              <w:spacing w:before="0" w:after="0" w:line="252" w:lineRule="auto"/>
            </w:pPr>
            <w:r>
              <w:rPr>
                <w:rFonts w:ascii="Calibri" w:hAnsi="Calibri"/>
                <w:b/>
                <w:color w:val="FFFFFF"/>
                <w:sz w:val="19"/>
              </w:rPr>
              <w:t>Expected content</w:t>
            </w:r>
          </w:p>
        </w:tc>
      </w:tr>
      <w:tr>
        <w:tc>
          <w:tcPr>
            <w:tcW w:type="dxa" w:w="250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Problem and value</w:t>
            </w:r>
          </w:p>
        </w:tc>
        <w:tc>
          <w:tcPr>
            <w:tcW w:type="dxa" w:w="160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1 min</w:t>
            </w:r>
          </w:p>
        </w:tc>
        <w:tc>
          <w:tcPr>
            <w:tcW w:type="dxa" w:w="526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Business problem, users and success definition</w:t>
            </w:r>
          </w:p>
        </w:tc>
      </w:tr>
      <w:tr>
        <w:tc>
          <w:tcPr>
            <w:tcW w:type="dxa" w:w="2500"/>
            <w:shd w:fill="F8FAFB"/>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Swarm design</w:t>
            </w:r>
          </w:p>
        </w:tc>
        <w:tc>
          <w:tcPr>
            <w:tcW w:type="dxa" w:w="1600"/>
            <w:shd w:fill="F8FAFB"/>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1 min</w:t>
            </w:r>
          </w:p>
        </w:tc>
        <w:tc>
          <w:tcPr>
            <w:tcW w:type="dxa" w:w="5260"/>
            <w:shd w:fill="F8FAFB"/>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Agent responsibilities and collaboration flow</w:t>
            </w:r>
          </w:p>
        </w:tc>
      </w:tr>
      <w:tr>
        <w:tc>
          <w:tcPr>
            <w:tcW w:type="dxa" w:w="250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Live or recorded trace demo</w:t>
            </w:r>
          </w:p>
        </w:tc>
        <w:tc>
          <w:tcPr>
            <w:tcW w:type="dxa" w:w="160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3 min</w:t>
            </w:r>
          </w:p>
        </w:tc>
        <w:tc>
          <w:tcPr>
            <w:tcW w:type="dxa" w:w="526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Department outputs, disagreement and CEO decision</w:t>
            </w:r>
          </w:p>
        </w:tc>
      </w:tr>
      <w:tr>
        <w:tc>
          <w:tcPr>
            <w:tcW w:type="dxa" w:w="2500"/>
            <w:shd w:fill="F8FAFB"/>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Surprise adaptation</w:t>
            </w:r>
          </w:p>
        </w:tc>
        <w:tc>
          <w:tcPr>
            <w:tcW w:type="dxa" w:w="1600"/>
            <w:shd w:fill="F8FAFB"/>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1 min</w:t>
            </w:r>
          </w:p>
        </w:tc>
        <w:tc>
          <w:tcPr>
            <w:tcW w:type="dxa" w:w="5260"/>
            <w:shd w:fill="F8FAFB"/>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Changed condition and revised decision</w:t>
            </w:r>
          </w:p>
        </w:tc>
      </w:tr>
      <w:tr>
        <w:tc>
          <w:tcPr>
            <w:tcW w:type="dxa" w:w="250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Judge questions</w:t>
            </w:r>
          </w:p>
        </w:tc>
        <w:tc>
          <w:tcPr>
            <w:tcW w:type="dxa" w:w="160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2 min</w:t>
            </w:r>
          </w:p>
        </w:tc>
        <w:tc>
          <w:tcPr>
            <w:tcW w:type="dxa" w:w="526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Technical and business clarification</w:t>
            </w:r>
          </w:p>
        </w:tc>
      </w:tr>
    </w:tbl>
    <w:p>
      <w:pPr>
        <w:keepNext w:val="0"/>
        <w:spacing w:before="0" w:after="20" w:line="300" w:lineRule="auto"/>
      </w:pPr>
    </w:p>
    <w:p>
      <w:pPr>
        <w:pStyle w:val="Heading2"/>
      </w:pPr>
      <w:r>
        <w:t>Mandatory judged evidence</w:t>
      </w:r>
    </w:p>
    <w:p>
      <w:pPr>
        <w:keepNext w:val="0"/>
        <w:numPr>
          <w:ilvl w:val="0"/>
          <w:numId w:val="10"/>
        </w:numPr>
        <w:spacing w:before="0" w:after="60" w:line="276" w:lineRule="auto"/>
      </w:pPr>
      <w:r>
        <w:rPr>
          <w:rFonts w:ascii="Calibri" w:hAnsi="Calibri"/>
          <w:color w:val="243746"/>
          <w:sz w:val="22"/>
        </w:rPr>
        <w:t>At least one end-to-end system run or an auditable trace produced by the submitted system.</w:t>
      </w:r>
    </w:p>
    <w:p>
      <w:pPr>
        <w:keepNext w:val="0"/>
        <w:numPr>
          <w:ilvl w:val="0"/>
          <w:numId w:val="10"/>
        </w:numPr>
        <w:spacing w:before="0" w:after="60" w:line="276" w:lineRule="auto"/>
      </w:pPr>
      <w:r>
        <w:rPr>
          <w:rFonts w:ascii="Calibri" w:hAnsi="Calibri"/>
          <w:color w:val="243746"/>
          <w:sz w:val="22"/>
        </w:rPr>
        <w:t>A clearly identified disagreement and the responding agent's revision or defence.</w:t>
      </w:r>
    </w:p>
    <w:p>
      <w:pPr>
        <w:keepNext w:val="0"/>
        <w:numPr>
          <w:ilvl w:val="0"/>
          <w:numId w:val="10"/>
        </w:numPr>
        <w:spacing w:before="0" w:after="60" w:line="276" w:lineRule="auto"/>
      </w:pPr>
      <w:r>
        <w:rPr>
          <w:rFonts w:ascii="Calibri" w:hAnsi="Calibri"/>
          <w:color w:val="243746"/>
          <w:sz w:val="22"/>
        </w:rPr>
        <w:t>The CEO's chosen strategy and at least one rejected alternative.</w:t>
      </w:r>
    </w:p>
    <w:p>
      <w:pPr>
        <w:keepNext w:val="0"/>
        <w:numPr>
          <w:ilvl w:val="0"/>
          <w:numId w:val="10"/>
        </w:numPr>
        <w:spacing w:before="0" w:after="60" w:line="276" w:lineRule="auto"/>
      </w:pPr>
      <w:r>
        <w:rPr>
          <w:rFonts w:ascii="Calibri" w:hAnsi="Calibri"/>
          <w:color w:val="243746"/>
          <w:sz w:val="22"/>
        </w:rPr>
        <w:t>The baseline and surprise decisions.</w:t>
      </w:r>
    </w:p>
    <w:p>
      <w:pPr>
        <w:keepNext w:val="0"/>
        <w:numPr>
          <w:ilvl w:val="0"/>
          <w:numId w:val="10"/>
        </w:numPr>
        <w:spacing w:before="0" w:after="60" w:line="276" w:lineRule="auto"/>
      </w:pPr>
      <w:r>
        <w:rPr>
          <w:rFonts w:ascii="Calibri" w:hAnsi="Calibri"/>
          <w:color w:val="243746"/>
          <w:sz w:val="22"/>
        </w:rPr>
        <w:t>A realistic business implementation plan and KPIs.</w:t>
      </w:r>
    </w:p>
    <w:p>
      <w:pPr>
        <w:pStyle w:val="Heading2"/>
      </w:pPr>
      <w:r>
        <w:t>Live verification</w:t>
      </w:r>
    </w:p>
    <w:p>
      <w:pPr>
        <w:keepNext w:val="0"/>
        <w:spacing w:before="0" w:after="120" w:line="300" w:lineRule="auto"/>
      </w:pPr>
      <w:r>
        <w:rPr>
          <w:rFonts w:ascii="Calibri" w:hAnsi="Calibri"/>
          <w:b w:val="0"/>
          <w:i w:val="0"/>
          <w:color w:val="243746"/>
          <w:sz w:val="22"/>
        </w:rPr>
        <w:t>Judges may ask a team to change one input, open an agent instruction, inspect an execution trace or explain how a displayed result was generated. A saved trace may support the demo when network access fails, but judges may reduce technical scores if the system cannot be inspected or reproduced.</w:t>
      </w:r>
    </w:p>
    <w:p>
      <w:pPr>
        <w:pStyle w:val="Heading2"/>
      </w:pPr>
      <w:r>
        <w:t>Judging panel</w:t>
      </w:r>
    </w:p>
    <w:p>
      <w:pPr>
        <w:keepNext w:val="0"/>
        <w:spacing w:before="0" w:after="120" w:line="300" w:lineRule="auto"/>
      </w:pPr>
      <w:r>
        <w:rPr>
          <w:rFonts w:ascii="Calibri" w:hAnsi="Calibri"/>
          <w:b w:val="0"/>
          <w:i w:val="0"/>
          <w:color w:val="243746"/>
          <w:sz w:val="22"/>
        </w:rPr>
        <w:t>At least two judges will score each eligible team independently. The final score is the arithmetic mean of the judges' 100-point totals after any approved penalties.</w:t>
      </w:r>
    </w:p>
    <w:tbl>
      <w:tblPr>
        <w:tblW w:type="dxa" w:w="9360"/>
        <w:jc w:val="left"/>
        <w:tblLayout w:type="fixed"/>
        <w:tblLook w:firstColumn="1" w:firstRow="1" w:lastColumn="0" w:lastRow="0" w:noHBand="0" w:noVBand="1" w:val="04A0"/>
        <w:tblInd w:w="120" w:type="dxa"/>
        <w:tblBorders>
          <w:top w:val="single" w:sz="8" w:space="0" w:color="007C83"/>
          <w:left w:val="single" w:sz="8" w:space="0" w:color="007C83"/>
          <w:bottom w:val="single" w:sz="8" w:space="0" w:color="007C83"/>
          <w:right w:val="single" w:sz="8" w:space="0" w:color="007C83"/>
          <w:insideH w:val="single" w:sz="8" w:space="0" w:color="007C83"/>
          <w:insideV w:val="single" w:sz="8" w:space="0" w:color="007C83"/>
        </w:tblBorders>
      </w:tblPr>
      <w:tblGrid>
        <w:gridCol w:w="9360"/>
      </w:tblGrid>
      <w:tr>
        <w:trPr>
          <w:cantSplit w:val="true"/>
        </w:trPr>
        <w:tc>
          <w:tcPr>
            <w:tcW w:type="dxa" w:w="9360"/>
            <w:tcMar>
              <w:top w:w="90" w:type="dxa"/>
              <w:start w:w="120" w:type="dxa"/>
              <w:bottom w:w="90" w:type="dxa"/>
              <w:end w:w="120" w:type="dxa"/>
            </w:tcMar>
            <w:vAlign w:val="center"/>
            <w:shd w:fill="E8F4F4"/>
          </w:tcPr>
          <w:p>
            <w:pPr>
              <w:keepNext w:val="0"/>
              <w:spacing w:before="0" w:after="0" w:line="276" w:lineRule="auto"/>
            </w:pPr>
            <w:r>
              <w:rPr>
                <w:rFonts w:ascii="Calibri" w:hAnsi="Calibri"/>
                <w:b/>
                <w:color w:val="007C83"/>
                <w:sz w:val="21"/>
              </w:rPr>
              <w:t xml:space="preserve">DEMO PRIORITY  </w:t>
            </w:r>
            <w:r>
              <w:rPr>
                <w:rFonts w:ascii="Calibri" w:hAnsi="Calibri"/>
                <w:color w:val="243746"/>
                <w:sz w:val="21"/>
              </w:rPr>
              <w:t>Spend presentation time showing agent interaction and business reasoning. A polished interface cannot substitute for a weak swarm.</w:t>
            </w:r>
          </w:p>
        </w:tc>
      </w:tr>
    </w:tbl>
    <w:p>
      <w:pPr>
        <w:keepNext w:val="0"/>
        <w:spacing w:before="0" w:after="20" w:line="300" w:lineRule="auto"/>
      </w:pPr>
    </w:p>
    <w:p>
      <w:pPr>
        <w:pStyle w:val="Heading1"/>
        <w:pageBreakBefore/>
      </w:pPr>
      <w:r>
        <w:t>8. Judging rubric</w:t>
      </w:r>
    </w:p>
    <w:tbl>
      <w:tblPr>
        <w:tblW w:type="dxa" w:w="9360"/>
        <w:tblLayout w:type="fixed"/>
        <w:tblLook w:firstColumn="1" w:firstRow="1" w:lastColumn="0" w:lastRow="0" w:noHBand="0" w:noVBand="1" w:val="04A0"/>
        <w:jc w:val="left"/>
        <w:tblInd w:w="120" w:type="dxa"/>
        <w:tblBorders>
          <w:top w:val="single" w:sz="6" w:space="0" w:color="C9D3DC"/>
          <w:left w:val="single" w:sz="6" w:space="0" w:color="C9D3DC"/>
          <w:bottom w:val="single" w:sz="6" w:space="0" w:color="C9D3DC"/>
          <w:right w:val="single" w:sz="6" w:space="0" w:color="C9D3DC"/>
          <w:insideH w:val="single" w:sz="6" w:space="0" w:color="C9D3DC"/>
          <w:insideV w:val="single" w:sz="6" w:space="0" w:color="C9D3DC"/>
        </w:tblBorders>
      </w:tblPr>
      <w:tblGrid>
        <w:gridCol w:w="2480"/>
        <w:gridCol w:w="1080"/>
        <w:gridCol w:w="5800"/>
      </w:tblGrid>
      <w:tr>
        <w:trPr>
          <w:tblHeader w:val="true"/>
        </w:trPr>
        <w:tc>
          <w:tcPr>
            <w:tcW w:type="dxa" w:w="2480"/>
            <w:tcMar>
              <w:top w:w="90" w:type="dxa"/>
              <w:start w:w="120" w:type="dxa"/>
              <w:bottom w:w="90" w:type="dxa"/>
              <w:end w:w="120" w:type="dxa"/>
            </w:tcMar>
            <w:vAlign w:val="center"/>
            <w:shd w:fill="17324D"/>
          </w:tcPr>
          <w:p>
            <w:pPr>
              <w:keepNext w:val="0"/>
              <w:spacing w:before="0" w:after="0" w:line="252" w:lineRule="auto"/>
            </w:pPr>
            <w:r>
              <w:rPr>
                <w:rFonts w:ascii="Calibri" w:hAnsi="Calibri"/>
                <w:b/>
                <w:color w:val="FFFFFF"/>
                <w:sz w:val="19"/>
              </w:rPr>
              <w:t>Criterion</w:t>
            </w:r>
          </w:p>
        </w:tc>
        <w:tc>
          <w:tcPr>
            <w:tcW w:type="dxa" w:w="1080"/>
            <w:tcMar>
              <w:top w:w="90" w:type="dxa"/>
              <w:start w:w="120" w:type="dxa"/>
              <w:bottom w:w="90" w:type="dxa"/>
              <w:end w:w="120" w:type="dxa"/>
            </w:tcMar>
            <w:vAlign w:val="center"/>
            <w:shd w:fill="17324D"/>
          </w:tcPr>
          <w:p>
            <w:pPr>
              <w:keepNext w:val="0"/>
              <w:spacing w:before="0" w:after="0" w:line="252" w:lineRule="auto"/>
            </w:pPr>
            <w:r>
              <w:rPr>
                <w:rFonts w:ascii="Calibri" w:hAnsi="Calibri"/>
                <w:b/>
                <w:color w:val="FFFFFF"/>
                <w:sz w:val="19"/>
              </w:rPr>
              <w:t>Points</w:t>
            </w:r>
          </w:p>
        </w:tc>
        <w:tc>
          <w:tcPr>
            <w:tcW w:type="dxa" w:w="5800"/>
            <w:tcMar>
              <w:top w:w="90" w:type="dxa"/>
              <w:start w:w="120" w:type="dxa"/>
              <w:bottom w:w="90" w:type="dxa"/>
              <w:end w:w="120" w:type="dxa"/>
            </w:tcMar>
            <w:vAlign w:val="center"/>
            <w:shd w:fill="17324D"/>
          </w:tcPr>
          <w:p>
            <w:pPr>
              <w:keepNext w:val="0"/>
              <w:spacing w:before="0" w:after="0" w:line="252" w:lineRule="auto"/>
            </w:pPr>
            <w:r>
              <w:rPr>
                <w:rFonts w:ascii="Calibri" w:hAnsi="Calibri"/>
                <w:b/>
                <w:color w:val="FFFFFF"/>
                <w:sz w:val="19"/>
              </w:rPr>
              <w:t>What earns marks</w:t>
            </w:r>
          </w:p>
        </w:tc>
      </w:tr>
      <w:tr>
        <w:tc>
          <w:tcPr>
            <w:tcW w:type="dxa" w:w="248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Business value</w:t>
            </w:r>
          </w:p>
        </w:tc>
        <w:tc>
          <w:tcPr>
            <w:tcW w:type="dxa" w:w="108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25</w:t>
            </w:r>
          </w:p>
        </w:tc>
        <w:tc>
          <w:tcPr>
            <w:tcW w:type="dxa" w:w="580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Problem fit, user value, feasibility, measurable impact and sound financial or operational logic.</w:t>
            </w:r>
          </w:p>
        </w:tc>
      </w:tr>
      <w:tr>
        <w:tc>
          <w:tcPr>
            <w:tcW w:type="dxa" w:w="2480"/>
            <w:shd w:fill="F8FAFB"/>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Agent specialisation</w:t>
            </w:r>
          </w:p>
        </w:tc>
        <w:tc>
          <w:tcPr>
            <w:tcW w:type="dxa" w:w="1080"/>
            <w:shd w:fill="F8FAFB"/>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15</w:t>
            </w:r>
          </w:p>
        </w:tc>
        <w:tc>
          <w:tcPr>
            <w:tcW w:type="dxa" w:w="5800"/>
            <w:shd w:fill="F8FAFB"/>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Distinct roles, appropriate context and meaningful department outputs.</w:t>
            </w:r>
          </w:p>
        </w:tc>
      </w:tr>
      <w:tr>
        <w:tc>
          <w:tcPr>
            <w:tcW w:type="dxa" w:w="248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Agent collaboration</w:t>
            </w:r>
          </w:p>
        </w:tc>
        <w:tc>
          <w:tcPr>
            <w:tcW w:type="dxa" w:w="108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20</w:t>
            </w:r>
          </w:p>
        </w:tc>
        <w:tc>
          <w:tcPr>
            <w:tcW w:type="dxa" w:w="580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Information exchange, challenge, alternative comparison and traceable synthesis.</w:t>
            </w:r>
          </w:p>
        </w:tc>
      </w:tr>
      <w:tr>
        <w:tc>
          <w:tcPr>
            <w:tcW w:type="dxa" w:w="2480"/>
            <w:shd w:fill="F8FAFB"/>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Decision quality</w:t>
            </w:r>
          </w:p>
        </w:tc>
        <w:tc>
          <w:tcPr>
            <w:tcW w:type="dxa" w:w="1080"/>
            <w:shd w:fill="F8FAFB"/>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15</w:t>
            </w:r>
          </w:p>
        </w:tc>
        <w:tc>
          <w:tcPr>
            <w:tcW w:type="dxa" w:w="5800"/>
            <w:shd w:fill="F8FAFB"/>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Evidence, trade-offs, assumptions, risks, implementation plan and KPIs.</w:t>
            </w:r>
          </w:p>
        </w:tc>
      </w:tr>
      <w:tr>
        <w:tc>
          <w:tcPr>
            <w:tcW w:type="dxa" w:w="248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Adaptability</w:t>
            </w:r>
          </w:p>
        </w:tc>
        <w:tc>
          <w:tcPr>
            <w:tcW w:type="dxa" w:w="108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10</w:t>
            </w:r>
          </w:p>
        </w:tc>
        <w:tc>
          <w:tcPr>
            <w:tcW w:type="dxa" w:w="580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Correct interpretation of the surprise and a justified revised decision.</w:t>
            </w:r>
          </w:p>
        </w:tc>
      </w:tr>
      <w:tr>
        <w:tc>
          <w:tcPr>
            <w:tcW w:type="dxa" w:w="2480"/>
            <w:shd w:fill="F8FAFB"/>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Technical implementation</w:t>
            </w:r>
          </w:p>
        </w:tc>
        <w:tc>
          <w:tcPr>
            <w:tcW w:type="dxa" w:w="1080"/>
            <w:shd w:fill="F8FAFB"/>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10</w:t>
            </w:r>
          </w:p>
        </w:tc>
        <w:tc>
          <w:tcPr>
            <w:tcW w:type="dxa" w:w="5800"/>
            <w:shd w:fill="F8FAFB"/>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Working system, reliability, fallback behaviour and reproducibility.</w:t>
            </w:r>
          </w:p>
        </w:tc>
      </w:tr>
      <w:tr>
        <w:tc>
          <w:tcPr>
            <w:tcW w:type="dxa" w:w="248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Presentation</w:t>
            </w:r>
          </w:p>
        </w:tc>
        <w:tc>
          <w:tcPr>
            <w:tcW w:type="dxa" w:w="108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5</w:t>
            </w:r>
          </w:p>
        </w:tc>
        <w:tc>
          <w:tcPr>
            <w:tcW w:type="dxa" w:w="580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Clarity, demo quality and responses to questions.</w:t>
            </w:r>
          </w:p>
        </w:tc>
      </w:tr>
    </w:tbl>
    <w:p>
      <w:pPr>
        <w:keepNext w:val="0"/>
        <w:spacing w:before="0" w:after="20" w:line="300" w:lineRule="auto"/>
      </w:pPr>
    </w:p>
    <w:p>
      <w:pPr>
        <w:pStyle w:val="Heading2"/>
      </w:pPr>
      <w:r>
        <w:t>Detailed score components</w:t>
      </w:r>
    </w:p>
    <w:tbl>
      <w:tblPr>
        <w:tblW w:type="dxa" w:w="9360"/>
        <w:tblLayout w:type="fixed"/>
        <w:tblLook w:firstColumn="1" w:firstRow="1" w:lastColumn="0" w:lastRow="0" w:noHBand="0" w:noVBand="1" w:val="04A0"/>
        <w:jc w:val="left"/>
        <w:tblInd w:w="120" w:type="dxa"/>
        <w:tblBorders>
          <w:top w:val="single" w:sz="6" w:space="0" w:color="C9D3DC"/>
          <w:left w:val="single" w:sz="6" w:space="0" w:color="C9D3DC"/>
          <w:bottom w:val="single" w:sz="6" w:space="0" w:color="C9D3DC"/>
          <w:right w:val="single" w:sz="6" w:space="0" w:color="C9D3DC"/>
          <w:insideH w:val="single" w:sz="6" w:space="0" w:color="C9D3DC"/>
          <w:insideV w:val="single" w:sz="6" w:space="0" w:color="C9D3DC"/>
        </w:tblBorders>
      </w:tblPr>
      <w:tblGrid>
        <w:gridCol w:w="2700"/>
        <w:gridCol w:w="6660"/>
      </w:tblGrid>
      <w:tr>
        <w:trPr>
          <w:tblHeader w:val="true"/>
        </w:trPr>
        <w:tc>
          <w:tcPr>
            <w:tcW w:type="dxa" w:w="2700"/>
            <w:tcMar>
              <w:top w:w="90" w:type="dxa"/>
              <w:start w:w="120" w:type="dxa"/>
              <w:bottom w:w="90" w:type="dxa"/>
              <w:end w:w="120" w:type="dxa"/>
            </w:tcMar>
            <w:vAlign w:val="center"/>
            <w:shd w:fill="007C83"/>
          </w:tcPr>
          <w:p>
            <w:pPr>
              <w:keepNext w:val="0"/>
              <w:spacing w:before="0" w:after="0" w:line="252" w:lineRule="auto"/>
            </w:pPr>
            <w:r>
              <w:rPr>
                <w:rFonts w:ascii="Calibri" w:hAnsi="Calibri"/>
                <w:b/>
                <w:color w:val="FFFFFF"/>
                <w:sz w:val="19"/>
              </w:rPr>
              <w:t>Criterion</w:t>
            </w:r>
          </w:p>
        </w:tc>
        <w:tc>
          <w:tcPr>
            <w:tcW w:type="dxa" w:w="6660"/>
            <w:tcMar>
              <w:top w:w="90" w:type="dxa"/>
              <w:start w:w="120" w:type="dxa"/>
              <w:bottom w:w="90" w:type="dxa"/>
              <w:end w:w="120" w:type="dxa"/>
            </w:tcMar>
            <w:vAlign w:val="center"/>
            <w:shd w:fill="007C83"/>
          </w:tcPr>
          <w:p>
            <w:pPr>
              <w:keepNext w:val="0"/>
              <w:spacing w:before="0" w:after="0" w:line="252" w:lineRule="auto"/>
            </w:pPr>
            <w:r>
              <w:rPr>
                <w:rFonts w:ascii="Calibri" w:hAnsi="Calibri"/>
                <w:b/>
                <w:color w:val="FFFFFF"/>
                <w:sz w:val="19"/>
              </w:rPr>
              <w:t>Sub-components</w:t>
            </w:r>
          </w:p>
        </w:tc>
      </w:tr>
      <w:tr>
        <w:tc>
          <w:tcPr>
            <w:tcW w:type="dxa" w:w="270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Business value - 25</w:t>
            </w:r>
          </w:p>
        </w:tc>
        <w:tc>
          <w:tcPr>
            <w:tcW w:type="dxa" w:w="666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Problem fit 5; feasibility 5; measurable KPIs 5; business logic 5; user or stakeholder value 5</w:t>
            </w:r>
          </w:p>
        </w:tc>
      </w:tr>
      <w:tr>
        <w:tc>
          <w:tcPr>
            <w:tcW w:type="dxa" w:w="2700"/>
            <w:shd w:fill="F8FAFB"/>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Specialisation - 15</w:t>
            </w:r>
          </w:p>
        </w:tc>
        <w:tc>
          <w:tcPr>
            <w:tcW w:type="dxa" w:w="6660"/>
            <w:shd w:fill="F8FAFB"/>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Distinct responsibilities 5; correct context 5; useful outputs 5</w:t>
            </w:r>
          </w:p>
        </w:tc>
      </w:tr>
      <w:tr>
        <w:tc>
          <w:tcPr>
            <w:tcW w:type="dxa" w:w="270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Collaboration - 20</w:t>
            </w:r>
          </w:p>
        </w:tc>
        <w:tc>
          <w:tcPr>
            <w:tcW w:type="dxa" w:w="666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Information exchange 5; meaningful challenge 5; strategy comparison 5; traceable synthesis 5</w:t>
            </w:r>
          </w:p>
        </w:tc>
      </w:tr>
      <w:tr>
        <w:tc>
          <w:tcPr>
            <w:tcW w:type="dxa" w:w="2700"/>
            <w:shd w:fill="F8FAFB"/>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Decision quality - 15</w:t>
            </w:r>
          </w:p>
        </w:tc>
        <w:tc>
          <w:tcPr>
            <w:tcW w:type="dxa" w:w="6660"/>
            <w:shd w:fill="F8FAFB"/>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Evidence 5; trade-offs 4; implementation 3; assumptions and risks 3</w:t>
            </w:r>
          </w:p>
        </w:tc>
      </w:tr>
      <w:tr>
        <w:tc>
          <w:tcPr>
            <w:tcW w:type="dxa" w:w="270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Adaptability - 10</w:t>
            </w:r>
          </w:p>
        </w:tc>
        <w:tc>
          <w:tcPr>
            <w:tcW w:type="dxa" w:w="666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Changed assumptions 3; affected agents 3; revised action 3; adaptation trace 1</w:t>
            </w:r>
          </w:p>
        </w:tc>
      </w:tr>
      <w:tr>
        <w:tc>
          <w:tcPr>
            <w:tcW w:type="dxa" w:w="2700"/>
            <w:shd w:fill="F8FAFB"/>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Technical - 10</w:t>
            </w:r>
          </w:p>
        </w:tc>
        <w:tc>
          <w:tcPr>
            <w:tcW w:type="dxa" w:w="6660"/>
            <w:shd w:fill="F8FAFB"/>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End-to-end execution 3; reliability 3; fallback 2; reproducibility 2</w:t>
            </w:r>
          </w:p>
        </w:tc>
      </w:tr>
      <w:tr>
        <w:tc>
          <w:tcPr>
            <w:tcW w:type="dxa" w:w="270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Presentation - 5</w:t>
            </w:r>
          </w:p>
        </w:tc>
        <w:tc>
          <w:tcPr>
            <w:tcW w:type="dxa" w:w="666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Clarity 2; demonstration 2; questions 1</w:t>
            </w:r>
          </w:p>
        </w:tc>
      </w:tr>
    </w:tbl>
    <w:p>
      <w:pPr>
        <w:keepNext w:val="0"/>
        <w:spacing w:before="0" w:after="20" w:line="300" w:lineRule="auto"/>
      </w:pPr>
    </w:p>
    <w:tbl>
      <w:tblPr>
        <w:tblW w:type="dxa" w:w="9360"/>
        <w:jc w:val="left"/>
        <w:tblLayout w:type="fixed"/>
        <w:tblLook w:firstColumn="1" w:firstRow="1" w:lastColumn="0" w:lastRow="0" w:noHBand="0" w:noVBand="1" w:val="04A0"/>
        <w:tblInd w:w="120" w:type="dxa"/>
        <w:tblBorders>
          <w:top w:val="single" w:sz="8" w:space="0" w:color="D9A441"/>
          <w:left w:val="single" w:sz="8" w:space="0" w:color="D9A441"/>
          <w:bottom w:val="single" w:sz="8" w:space="0" w:color="D9A441"/>
          <w:right w:val="single" w:sz="8" w:space="0" w:color="D9A441"/>
          <w:insideH w:val="single" w:sz="8" w:space="0" w:color="D9A441"/>
          <w:insideV w:val="single" w:sz="8" w:space="0" w:color="D9A441"/>
        </w:tblBorders>
      </w:tblPr>
      <w:tblGrid>
        <w:gridCol w:w="9360"/>
      </w:tblGrid>
      <w:tr>
        <w:trPr>
          <w:cantSplit w:val="true"/>
        </w:trPr>
        <w:tc>
          <w:tcPr>
            <w:tcW w:type="dxa" w:w="9360"/>
            <w:tcMar>
              <w:top w:w="90" w:type="dxa"/>
              <w:start w:w="120" w:type="dxa"/>
              <w:bottom w:w="90" w:type="dxa"/>
              <w:end w:w="120" w:type="dxa"/>
            </w:tcMar>
            <w:vAlign w:val="center"/>
            <w:shd w:fill="FFF7E3"/>
          </w:tcPr>
          <w:p>
            <w:pPr>
              <w:keepNext w:val="0"/>
              <w:spacing w:before="0" w:after="0" w:line="276" w:lineRule="auto"/>
            </w:pPr>
            <w:r>
              <w:rPr>
                <w:rFonts w:ascii="Calibri" w:hAnsi="Calibri"/>
                <w:b/>
                <w:color w:val="D9A441"/>
                <w:sz w:val="21"/>
              </w:rPr>
              <w:t xml:space="preserve">NO BONUS CATEGORY  </w:t>
            </w:r>
            <w:r>
              <w:rPr>
                <w:rFonts w:ascii="Calibri" w:hAnsi="Calibri"/>
                <w:color w:val="243746"/>
                <w:sz w:val="21"/>
              </w:rPr>
              <w:t>There are no automatic bonus points for agent count, framework choice, model size, frontend complexity or paid services.</w:t>
            </w:r>
          </w:p>
        </w:tc>
      </w:tr>
    </w:tbl>
    <w:p>
      <w:pPr>
        <w:keepNext w:val="0"/>
        <w:spacing w:before="0" w:after="20" w:line="300" w:lineRule="auto"/>
      </w:pPr>
    </w:p>
    <w:p>
      <w:pPr>
        <w:pStyle w:val="Heading1"/>
        <w:pageBreakBefore/>
      </w:pPr>
      <w:r>
        <w:t>9. Scoring, tie-breaks and penalties</w:t>
      </w:r>
    </w:p>
    <w:p>
      <w:pPr>
        <w:pStyle w:val="Heading2"/>
      </w:pPr>
      <w:r>
        <w:t>Scoring method</w:t>
      </w:r>
    </w:p>
    <w:p>
      <w:pPr>
        <w:keepNext w:val="0"/>
        <w:numPr>
          <w:ilvl w:val="0"/>
          <w:numId w:val="10"/>
        </w:numPr>
        <w:spacing w:before="0" w:after="60" w:line="276" w:lineRule="auto"/>
      </w:pPr>
      <w:r>
        <w:rPr>
          <w:rFonts w:ascii="Calibri" w:hAnsi="Calibri"/>
          <w:color w:val="243746"/>
          <w:sz w:val="22"/>
        </w:rPr>
        <w:t>Each judge records a score out of 100 using the published rubric.</w:t>
      </w:r>
    </w:p>
    <w:p>
      <w:pPr>
        <w:keepNext w:val="0"/>
        <w:numPr>
          <w:ilvl w:val="0"/>
          <w:numId w:val="10"/>
        </w:numPr>
        <w:spacing w:before="0" w:after="60" w:line="276" w:lineRule="auto"/>
      </w:pPr>
      <w:r>
        <w:rPr>
          <w:rFonts w:ascii="Calibri" w:hAnsi="Calibri"/>
          <w:color w:val="243746"/>
          <w:sz w:val="22"/>
        </w:rPr>
        <w:t>Approved penalties are applied to the averaged score.</w:t>
      </w:r>
    </w:p>
    <w:p>
      <w:pPr>
        <w:keepNext w:val="0"/>
        <w:numPr>
          <w:ilvl w:val="0"/>
          <w:numId w:val="10"/>
        </w:numPr>
        <w:spacing w:before="0" w:after="60" w:line="276" w:lineRule="auto"/>
      </w:pPr>
      <w:r>
        <w:rPr>
          <w:rFonts w:ascii="Calibri" w:hAnsi="Calibri"/>
          <w:color w:val="243746"/>
          <w:sz w:val="22"/>
        </w:rPr>
        <w:t>Scores may be rounded to two decimal places for ranking.</w:t>
      </w:r>
    </w:p>
    <w:p>
      <w:pPr>
        <w:keepNext w:val="0"/>
        <w:numPr>
          <w:ilvl w:val="0"/>
          <w:numId w:val="10"/>
        </w:numPr>
        <w:spacing w:before="0" w:after="60" w:line="276" w:lineRule="auto"/>
      </w:pPr>
      <w:r>
        <w:rPr>
          <w:rFonts w:ascii="Calibri" w:hAnsi="Calibri"/>
          <w:color w:val="243746"/>
          <w:sz w:val="22"/>
        </w:rPr>
        <w:t>Judges may consider only evidence available in the submission and presentation.</w:t>
      </w:r>
    </w:p>
    <w:p>
      <w:pPr>
        <w:pStyle w:val="Heading2"/>
      </w:pPr>
      <w:r>
        <w:t>Tie-break order</w:t>
      </w:r>
    </w:p>
    <w:p>
      <w:pPr>
        <w:keepNext w:val="0"/>
        <w:numPr>
          <w:ilvl w:val="0"/>
          <w:numId w:val="12"/>
        </w:numPr>
        <w:spacing w:before="0" w:after="60" w:line="276" w:lineRule="auto"/>
      </w:pPr>
      <w:r>
        <w:rPr>
          <w:rFonts w:ascii="Calibri" w:hAnsi="Calibri"/>
          <w:color w:val="243746"/>
          <w:sz w:val="22"/>
        </w:rPr>
        <w:t>Higher Business Value score.</w:t>
      </w:r>
    </w:p>
    <w:p>
      <w:pPr>
        <w:keepNext w:val="0"/>
        <w:numPr>
          <w:ilvl w:val="0"/>
          <w:numId w:val="12"/>
        </w:numPr>
        <w:spacing w:before="0" w:after="60" w:line="276" w:lineRule="auto"/>
      </w:pPr>
      <w:r>
        <w:rPr>
          <w:rFonts w:ascii="Calibri" w:hAnsi="Calibri"/>
          <w:color w:val="243746"/>
          <w:sz w:val="22"/>
        </w:rPr>
        <w:t>Higher Agent Collaboration score.</w:t>
      </w:r>
    </w:p>
    <w:p>
      <w:pPr>
        <w:keepNext w:val="0"/>
        <w:numPr>
          <w:ilvl w:val="0"/>
          <w:numId w:val="12"/>
        </w:numPr>
        <w:spacing w:before="0" w:after="60" w:line="276" w:lineRule="auto"/>
      </w:pPr>
      <w:r>
        <w:rPr>
          <w:rFonts w:ascii="Calibri" w:hAnsi="Calibri"/>
          <w:color w:val="243746"/>
          <w:sz w:val="22"/>
        </w:rPr>
        <w:t>Higher Adaptability score.</w:t>
      </w:r>
    </w:p>
    <w:p>
      <w:pPr>
        <w:keepNext w:val="0"/>
        <w:numPr>
          <w:ilvl w:val="0"/>
          <w:numId w:val="12"/>
        </w:numPr>
        <w:spacing w:before="0" w:after="60" w:line="276" w:lineRule="auto"/>
      </w:pPr>
      <w:r>
        <w:rPr>
          <w:rFonts w:ascii="Calibri" w:hAnsi="Calibri"/>
          <w:color w:val="243746"/>
          <w:sz w:val="22"/>
        </w:rPr>
        <w:t>Higher Technical Implementation score.</w:t>
      </w:r>
    </w:p>
    <w:p>
      <w:pPr>
        <w:keepNext w:val="0"/>
        <w:numPr>
          <w:ilvl w:val="0"/>
          <w:numId w:val="12"/>
        </w:numPr>
        <w:spacing w:before="0" w:after="60" w:line="276" w:lineRule="auto"/>
      </w:pPr>
      <w:r>
        <w:rPr>
          <w:rFonts w:ascii="Calibri" w:hAnsi="Calibri"/>
          <w:color w:val="243746"/>
          <w:sz w:val="22"/>
        </w:rPr>
        <w:t>If still tied, a documented panel vote based on overall solution maturity.</w:t>
      </w:r>
    </w:p>
    <w:p>
      <w:pPr>
        <w:pStyle w:val="Heading2"/>
      </w:pPr>
      <w:r>
        <w:t>Late submissions</w:t>
      </w:r>
    </w:p>
    <w:tbl>
      <w:tblPr>
        <w:tblW w:type="dxa" w:w="9360"/>
        <w:tblLayout w:type="fixed"/>
        <w:tblLook w:firstColumn="1" w:firstRow="1" w:lastColumn="0" w:lastRow="0" w:noHBand="0" w:noVBand="1" w:val="04A0"/>
        <w:jc w:val="left"/>
        <w:tblInd w:w="120" w:type="dxa"/>
        <w:tblBorders>
          <w:top w:val="single" w:sz="6" w:space="0" w:color="C9D3DC"/>
          <w:left w:val="single" w:sz="6" w:space="0" w:color="C9D3DC"/>
          <w:bottom w:val="single" w:sz="6" w:space="0" w:color="C9D3DC"/>
          <w:right w:val="single" w:sz="6" w:space="0" w:color="C9D3DC"/>
          <w:insideH w:val="single" w:sz="6" w:space="0" w:color="C9D3DC"/>
          <w:insideV w:val="single" w:sz="6" w:space="0" w:color="C9D3DC"/>
        </w:tblBorders>
      </w:tblPr>
      <w:tblGrid>
        <w:gridCol w:w="3100"/>
        <w:gridCol w:w="6260"/>
      </w:tblGrid>
      <w:tr>
        <w:trPr>
          <w:tblHeader w:val="true"/>
        </w:trPr>
        <w:tc>
          <w:tcPr>
            <w:tcW w:type="dxa" w:w="3100"/>
            <w:tcMar>
              <w:top w:w="90" w:type="dxa"/>
              <w:start w:w="120" w:type="dxa"/>
              <w:bottom w:w="90" w:type="dxa"/>
              <w:end w:w="120" w:type="dxa"/>
            </w:tcMar>
            <w:vAlign w:val="center"/>
            <w:shd w:fill="17324D"/>
          </w:tcPr>
          <w:p>
            <w:pPr>
              <w:keepNext w:val="0"/>
              <w:spacing w:before="0" w:after="0" w:line="252" w:lineRule="auto"/>
            </w:pPr>
            <w:r>
              <w:rPr>
                <w:rFonts w:ascii="Calibri" w:hAnsi="Calibri"/>
                <w:b/>
                <w:color w:val="FFFFFF"/>
                <w:sz w:val="19"/>
              </w:rPr>
              <w:t>Delay</w:t>
            </w:r>
          </w:p>
        </w:tc>
        <w:tc>
          <w:tcPr>
            <w:tcW w:type="dxa" w:w="6260"/>
            <w:tcMar>
              <w:top w:w="90" w:type="dxa"/>
              <w:start w:w="120" w:type="dxa"/>
              <w:bottom w:w="90" w:type="dxa"/>
              <w:end w:w="120" w:type="dxa"/>
            </w:tcMar>
            <w:vAlign w:val="center"/>
            <w:shd w:fill="17324D"/>
          </w:tcPr>
          <w:p>
            <w:pPr>
              <w:keepNext w:val="0"/>
              <w:spacing w:before="0" w:after="0" w:line="252" w:lineRule="auto"/>
            </w:pPr>
            <w:r>
              <w:rPr>
                <w:rFonts w:ascii="Calibri" w:hAnsi="Calibri"/>
                <w:b/>
                <w:color w:val="FFFFFF"/>
                <w:sz w:val="19"/>
              </w:rPr>
              <w:t>Default consequence</w:t>
            </w:r>
          </w:p>
        </w:tc>
      </w:tr>
      <w:tr>
        <w:tc>
          <w:tcPr>
            <w:tcW w:type="dxa" w:w="310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Up to 10 minutes</w:t>
            </w:r>
          </w:p>
        </w:tc>
        <w:tc>
          <w:tcPr>
            <w:tcW w:type="dxa" w:w="626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Five-point deduction</w:t>
            </w:r>
          </w:p>
        </w:tc>
      </w:tr>
      <w:tr>
        <w:tc>
          <w:tcPr>
            <w:tcW w:type="dxa" w:w="3100"/>
            <w:shd w:fill="F8FAFB"/>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More than 10 and up to 20 minutes</w:t>
            </w:r>
          </w:p>
        </w:tc>
        <w:tc>
          <w:tcPr>
            <w:tcW w:type="dxa" w:w="6260"/>
            <w:shd w:fill="F8FAFB"/>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Ten-point deduction</w:t>
            </w:r>
          </w:p>
        </w:tc>
      </w:tr>
      <w:tr>
        <w:tc>
          <w:tcPr>
            <w:tcW w:type="dxa" w:w="310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More than 20 and up to 30 minutes</w:t>
            </w:r>
          </w:p>
        </w:tc>
        <w:tc>
          <w:tcPr>
            <w:tcW w:type="dxa" w:w="626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Fifteen-point deduction</w:t>
            </w:r>
          </w:p>
        </w:tc>
      </w:tr>
      <w:tr>
        <w:tc>
          <w:tcPr>
            <w:tcW w:type="dxa" w:w="3100"/>
            <w:shd w:fill="F8FAFB"/>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More than 30 minutes</w:t>
            </w:r>
          </w:p>
        </w:tc>
        <w:tc>
          <w:tcPr>
            <w:tcW w:type="dxa" w:w="6260"/>
            <w:shd w:fill="F8FAFB"/>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Submission accepted only at Event Head discretion and normally ineligible for prizes</w:t>
            </w:r>
          </w:p>
        </w:tc>
      </w:tr>
    </w:tbl>
    <w:p>
      <w:pPr>
        <w:keepNext w:val="0"/>
        <w:spacing w:before="0" w:after="20" w:line="300" w:lineRule="auto"/>
      </w:pPr>
    </w:p>
    <w:p>
      <w:pPr>
        <w:keepNext w:val="0"/>
        <w:spacing w:before="0" w:after="120" w:line="300" w:lineRule="auto"/>
      </w:pPr>
      <w:r>
        <w:rPr>
          <w:rFonts w:ascii="Calibri" w:hAnsi="Calibri"/>
          <w:b w:val="0"/>
          <w:i/>
          <w:color w:val="667788"/>
          <w:sz w:val="21"/>
        </w:rPr>
        <w:t>A verified event-wide technical failure may lead to a written deadline extension. Individual API exhaustion, billing issues, device failure or forgotten credentials normally do not qualify.</w:t>
      </w:r>
    </w:p>
    <w:p>
      <w:pPr>
        <w:pStyle w:val="Heading2"/>
      </w:pPr>
      <w:r>
        <w:t>Other scoring consequences</w:t>
      </w:r>
    </w:p>
    <w:p>
      <w:pPr>
        <w:keepNext w:val="0"/>
        <w:numPr>
          <w:ilvl w:val="0"/>
          <w:numId w:val="10"/>
        </w:numPr>
        <w:spacing w:before="0" w:after="60" w:line="276" w:lineRule="auto"/>
      </w:pPr>
      <w:r>
        <w:rPr>
          <w:rFonts w:ascii="Calibri" w:hAnsi="Calibri"/>
          <w:color w:val="243746"/>
          <w:sz w:val="22"/>
        </w:rPr>
        <w:t>Missing mandatory evidence receives no credit for the affected rubric component.</w:t>
      </w:r>
    </w:p>
    <w:p>
      <w:pPr>
        <w:keepNext w:val="0"/>
        <w:numPr>
          <w:ilvl w:val="0"/>
          <w:numId w:val="10"/>
        </w:numPr>
        <w:spacing w:before="0" w:after="60" w:line="276" w:lineRule="auto"/>
      </w:pPr>
      <w:r>
        <w:rPr>
          <w:rFonts w:ascii="Calibri" w:hAnsi="Calibri"/>
          <w:color w:val="243746"/>
          <w:sz w:val="22"/>
        </w:rPr>
        <w:t>A fully hardcoded final outcome receives zero for Agent Collaboration and Technical Implementation unless the hardcoded portion is only a clearly disclosed fallback.</w:t>
      </w:r>
    </w:p>
    <w:p>
      <w:pPr>
        <w:keepNext w:val="0"/>
        <w:numPr>
          <w:ilvl w:val="0"/>
          <w:numId w:val="10"/>
        </w:numPr>
        <w:spacing w:before="0" w:after="60" w:line="276" w:lineRule="auto"/>
      </w:pPr>
      <w:r>
        <w:rPr>
          <w:rFonts w:ascii="Calibri" w:hAnsi="Calibri"/>
          <w:color w:val="243746"/>
          <w:sz w:val="22"/>
        </w:rPr>
        <w:t>If a team does not present, it receives zero for Presentation; remaining categories are judged only when the submission contains sufficient evidence.</w:t>
      </w:r>
    </w:p>
    <w:p>
      <w:pPr>
        <w:pStyle w:val="Heading1"/>
        <w:pageBreakBefore/>
      </w:pPr>
      <w:r>
        <w:t>10. Integrity, safety and data rules</w:t>
      </w:r>
    </w:p>
    <w:p>
      <w:pPr>
        <w:pStyle w:val="Heading2"/>
      </w:pPr>
      <w:r>
        <w:t>Academic and competitive integrity</w:t>
      </w:r>
    </w:p>
    <w:p>
      <w:pPr>
        <w:keepNext w:val="0"/>
        <w:numPr>
          <w:ilvl w:val="0"/>
          <w:numId w:val="10"/>
        </w:numPr>
        <w:spacing w:before="0" w:after="60" w:line="276" w:lineRule="auto"/>
      </w:pPr>
      <w:r>
        <w:rPr>
          <w:rFonts w:ascii="Calibri" w:hAnsi="Calibri"/>
          <w:color w:val="243746"/>
          <w:sz w:val="22"/>
        </w:rPr>
        <w:t>Teams must disclose reused code, templates, datasets and external systems.</w:t>
      </w:r>
    </w:p>
    <w:p>
      <w:pPr>
        <w:keepNext w:val="0"/>
        <w:numPr>
          <w:ilvl w:val="0"/>
          <w:numId w:val="10"/>
        </w:numPr>
        <w:spacing w:before="0" w:after="60" w:line="276" w:lineRule="auto"/>
      </w:pPr>
      <w:r>
        <w:rPr>
          <w:rFonts w:ascii="Calibri" w:hAnsi="Calibri"/>
          <w:color w:val="243746"/>
          <w:sz w:val="22"/>
        </w:rPr>
        <w:t>Copied challenge-specific work presented as original may result in disqualification.</w:t>
      </w:r>
    </w:p>
    <w:p>
      <w:pPr>
        <w:keepNext w:val="0"/>
        <w:numPr>
          <w:ilvl w:val="0"/>
          <w:numId w:val="10"/>
        </w:numPr>
        <w:spacing w:before="0" w:after="60" w:line="276" w:lineRule="auto"/>
      </w:pPr>
      <w:r>
        <w:rPr>
          <w:rFonts w:ascii="Calibri" w:hAnsi="Calibri"/>
          <w:color w:val="243746"/>
          <w:sz w:val="22"/>
        </w:rPr>
        <w:t>Execution traces, screenshots, metrics and demonstrations must not be fabricated.</w:t>
      </w:r>
    </w:p>
    <w:p>
      <w:pPr>
        <w:keepNext w:val="0"/>
        <w:numPr>
          <w:ilvl w:val="0"/>
          <w:numId w:val="10"/>
        </w:numPr>
        <w:spacing w:before="0" w:after="60" w:line="276" w:lineRule="auto"/>
      </w:pPr>
      <w:r>
        <w:rPr>
          <w:rFonts w:ascii="Calibri" w:hAnsi="Calibri"/>
          <w:color w:val="243746"/>
          <w:sz w:val="22"/>
        </w:rPr>
        <w:t>Participants may not obtain another team's private code, prompts, credentials or outputs without permission.</w:t>
      </w:r>
    </w:p>
    <w:p>
      <w:pPr>
        <w:keepNext w:val="0"/>
        <w:numPr>
          <w:ilvl w:val="0"/>
          <w:numId w:val="10"/>
        </w:numPr>
        <w:spacing w:before="0" w:after="60" w:line="276" w:lineRule="auto"/>
      </w:pPr>
      <w:r>
        <w:rPr>
          <w:rFonts w:ascii="Calibri" w:hAnsi="Calibri"/>
          <w:color w:val="243746"/>
          <w:sz w:val="22"/>
        </w:rPr>
        <w:t>Participants may not interfere with another team, the network, submission portal or judging systems.</w:t>
      </w:r>
    </w:p>
    <w:p>
      <w:pPr>
        <w:pStyle w:val="Heading2"/>
      </w:pPr>
      <w:r>
        <w:t>Data and privacy</w:t>
      </w:r>
    </w:p>
    <w:p>
      <w:pPr>
        <w:keepNext w:val="0"/>
        <w:numPr>
          <w:ilvl w:val="0"/>
          <w:numId w:val="10"/>
        </w:numPr>
        <w:spacing w:before="0" w:after="60" w:line="276" w:lineRule="auto"/>
      </w:pPr>
      <w:r>
        <w:rPr>
          <w:rFonts w:ascii="Calibri" w:hAnsi="Calibri"/>
          <w:color w:val="243746"/>
          <w:sz w:val="22"/>
        </w:rPr>
        <w:t>Use only organizer-provided, public, licensed or explicitly consented data.</w:t>
      </w:r>
    </w:p>
    <w:p>
      <w:pPr>
        <w:keepNext w:val="0"/>
        <w:numPr>
          <w:ilvl w:val="0"/>
          <w:numId w:val="10"/>
        </w:numPr>
        <w:spacing w:before="0" w:after="60" w:line="276" w:lineRule="auto"/>
      </w:pPr>
      <w:r>
        <w:rPr>
          <w:rFonts w:ascii="Calibri" w:hAnsi="Calibri"/>
          <w:color w:val="243746"/>
          <w:sz w:val="22"/>
        </w:rPr>
        <w:t>Do not include passwords, API keys, personal identifiers or confidential information in submissions.</w:t>
      </w:r>
    </w:p>
    <w:p>
      <w:pPr>
        <w:keepNext w:val="0"/>
        <w:numPr>
          <w:ilvl w:val="0"/>
          <w:numId w:val="10"/>
        </w:numPr>
        <w:spacing w:before="0" w:after="60" w:line="276" w:lineRule="auto"/>
      </w:pPr>
      <w:r>
        <w:rPr>
          <w:rFonts w:ascii="Calibri" w:hAnsi="Calibri"/>
          <w:color w:val="243746"/>
          <w:sz w:val="22"/>
        </w:rPr>
        <w:t>Personal or sensitive data must be removed, anonymized or replaced with synthetic examples.</w:t>
      </w:r>
    </w:p>
    <w:p>
      <w:pPr>
        <w:keepNext w:val="0"/>
        <w:numPr>
          <w:ilvl w:val="0"/>
          <w:numId w:val="10"/>
        </w:numPr>
        <w:spacing w:before="0" w:after="60" w:line="276" w:lineRule="auto"/>
      </w:pPr>
      <w:r>
        <w:rPr>
          <w:rFonts w:ascii="Calibri" w:hAnsi="Calibri"/>
          <w:color w:val="243746"/>
          <w:sz w:val="22"/>
        </w:rPr>
        <w:t>External data claims must be traceable to a source or clearly labelled as assumptions.</w:t>
      </w:r>
    </w:p>
    <w:p>
      <w:pPr>
        <w:keepNext w:val="0"/>
        <w:numPr>
          <w:ilvl w:val="0"/>
          <w:numId w:val="10"/>
        </w:numPr>
        <w:spacing w:before="0" w:after="60" w:line="276" w:lineRule="auto"/>
      </w:pPr>
      <w:r>
        <w:rPr>
          <w:rFonts w:ascii="Calibri" w:hAnsi="Calibri"/>
          <w:color w:val="243746"/>
          <w:sz w:val="22"/>
        </w:rPr>
        <w:t>Teams remain responsible for the terms of any third-party service they use.</w:t>
      </w:r>
    </w:p>
    <w:p>
      <w:pPr>
        <w:pStyle w:val="Heading2"/>
      </w:pPr>
      <w:r>
        <w:t>Prohibited conduct</w:t>
      </w:r>
    </w:p>
    <w:p>
      <w:pPr>
        <w:keepNext w:val="0"/>
        <w:numPr>
          <w:ilvl w:val="0"/>
          <w:numId w:val="10"/>
        </w:numPr>
        <w:spacing w:before="0" w:after="60" w:line="276" w:lineRule="auto"/>
      </w:pPr>
      <w:r>
        <w:rPr>
          <w:rFonts w:ascii="Calibri" w:hAnsi="Calibri"/>
          <w:color w:val="243746"/>
          <w:sz w:val="22"/>
        </w:rPr>
        <w:t>Unauthorized access, credential abuse, phishing, malware, denial-of-service activity or security testing against real systems.</w:t>
      </w:r>
    </w:p>
    <w:p>
      <w:pPr>
        <w:keepNext w:val="0"/>
        <w:numPr>
          <w:ilvl w:val="0"/>
          <w:numId w:val="10"/>
        </w:numPr>
        <w:spacing w:before="0" w:after="60" w:line="276" w:lineRule="auto"/>
      </w:pPr>
      <w:r>
        <w:rPr>
          <w:rFonts w:ascii="Calibri" w:hAnsi="Calibri"/>
          <w:color w:val="243746"/>
          <w:sz w:val="22"/>
        </w:rPr>
        <w:t>Automated messages, purchases, applications or transactions involving real people or money without explicit authorization.</w:t>
      </w:r>
    </w:p>
    <w:p>
      <w:pPr>
        <w:keepNext w:val="0"/>
        <w:numPr>
          <w:ilvl w:val="0"/>
          <w:numId w:val="10"/>
        </w:numPr>
        <w:spacing w:before="0" w:after="60" w:line="276" w:lineRule="auto"/>
      </w:pPr>
      <w:r>
        <w:rPr>
          <w:rFonts w:ascii="Calibri" w:hAnsi="Calibri"/>
          <w:color w:val="243746"/>
          <w:sz w:val="22"/>
        </w:rPr>
        <w:t>Impersonating organizers, judges, companies or other participants.</w:t>
      </w:r>
    </w:p>
    <w:p>
      <w:pPr>
        <w:keepNext w:val="0"/>
        <w:numPr>
          <w:ilvl w:val="0"/>
          <w:numId w:val="10"/>
        </w:numPr>
        <w:spacing w:before="0" w:after="60" w:line="276" w:lineRule="auto"/>
      </w:pPr>
      <w:r>
        <w:rPr>
          <w:rFonts w:ascii="Calibri" w:hAnsi="Calibri"/>
          <w:color w:val="243746"/>
          <w:sz w:val="22"/>
        </w:rPr>
        <w:t>Prompting or manipulating an evaluator to ignore the judging rubric.</w:t>
      </w:r>
    </w:p>
    <w:p>
      <w:pPr>
        <w:keepNext w:val="0"/>
        <w:numPr>
          <w:ilvl w:val="0"/>
          <w:numId w:val="10"/>
        </w:numPr>
        <w:spacing w:before="0" w:after="60" w:line="276" w:lineRule="auto"/>
      </w:pPr>
      <w:r>
        <w:rPr>
          <w:rFonts w:ascii="Calibri" w:hAnsi="Calibri"/>
          <w:color w:val="243746"/>
          <w:sz w:val="22"/>
        </w:rPr>
        <w:t>Harassment, discrimination, threats or disruptive conduct.</w:t>
      </w:r>
    </w:p>
    <w:tbl>
      <w:tblPr>
        <w:tblW w:type="dxa" w:w="9360"/>
        <w:jc w:val="left"/>
        <w:tblLayout w:type="fixed"/>
        <w:tblLook w:firstColumn="1" w:firstRow="1" w:lastColumn="0" w:lastRow="0" w:noHBand="0" w:noVBand="1" w:val="04A0"/>
        <w:tblInd w:w="120" w:type="dxa"/>
        <w:tblBorders>
          <w:top w:val="single" w:sz="8" w:space="0" w:color="9B1C1C"/>
          <w:left w:val="single" w:sz="8" w:space="0" w:color="9B1C1C"/>
          <w:bottom w:val="single" w:sz="8" w:space="0" w:color="9B1C1C"/>
          <w:right w:val="single" w:sz="8" w:space="0" w:color="9B1C1C"/>
          <w:insideH w:val="single" w:sz="8" w:space="0" w:color="9B1C1C"/>
          <w:insideV w:val="single" w:sz="8" w:space="0" w:color="9B1C1C"/>
        </w:tblBorders>
      </w:tblPr>
      <w:tblGrid>
        <w:gridCol w:w="9360"/>
      </w:tblGrid>
      <w:tr>
        <w:trPr>
          <w:cantSplit w:val="true"/>
        </w:trPr>
        <w:tc>
          <w:tcPr>
            <w:tcW w:type="dxa" w:w="9360"/>
            <w:tcMar>
              <w:top w:w="90" w:type="dxa"/>
              <w:start w:w="120" w:type="dxa"/>
              <w:bottom w:w="90" w:type="dxa"/>
              <w:end w:w="120" w:type="dxa"/>
            </w:tcMar>
            <w:vAlign w:val="center"/>
            <w:shd w:fill="FDECEC"/>
          </w:tcPr>
          <w:p>
            <w:pPr>
              <w:keepNext w:val="0"/>
              <w:spacing w:before="0" w:after="0" w:line="276" w:lineRule="auto"/>
            </w:pPr>
            <w:r>
              <w:rPr>
                <w:rFonts w:ascii="Calibri" w:hAnsi="Calibri"/>
                <w:b/>
                <w:color w:val="9B1C1C"/>
                <w:sz w:val="21"/>
              </w:rPr>
              <w:t xml:space="preserve">DISQUALIFICATION  </w:t>
            </w:r>
            <w:r>
              <w:rPr>
                <w:rFonts w:ascii="Calibri" w:hAnsi="Calibri"/>
                <w:color w:val="243746"/>
                <w:sz w:val="21"/>
              </w:rPr>
              <w:t>Plagiarism, fabricated evidence, unauthorized access, intentional interference or serious code-of-conduct violations may lead to immediate disqualification.</w:t>
            </w:r>
          </w:p>
        </w:tc>
      </w:tr>
    </w:tbl>
    <w:p>
      <w:pPr>
        <w:keepNext w:val="0"/>
        <w:spacing w:before="0" w:after="20" w:line="300" w:lineRule="auto"/>
      </w:pPr>
    </w:p>
    <w:p>
      <w:pPr>
        <w:pStyle w:val="Heading1"/>
        <w:pageBreakBefore/>
      </w:pPr>
      <w:r>
        <w:t>11. Organizer authority and dispute handling</w:t>
      </w:r>
    </w:p>
    <w:p>
      <w:pPr>
        <w:pStyle w:val="Heading2"/>
      </w:pPr>
      <w:r>
        <w:t>Rules Desk</w:t>
      </w:r>
    </w:p>
    <w:p>
      <w:pPr>
        <w:keepNext w:val="0"/>
        <w:spacing w:before="0" w:after="120" w:line="300" w:lineRule="auto"/>
      </w:pPr>
      <w:r>
        <w:rPr>
          <w:rFonts w:ascii="Calibri" w:hAnsi="Calibri"/>
          <w:b w:val="0"/>
          <w:i w:val="0"/>
          <w:color w:val="243746"/>
          <w:sz w:val="22"/>
        </w:rPr>
        <w:t>The Rules Desk interprets this rulebook, answers participant questions and records official clarifications. A clarification affecting multiple teams should be published to all participants.</w:t>
      </w:r>
    </w:p>
    <w:p>
      <w:pPr>
        <w:pStyle w:val="Heading2"/>
      </w:pPr>
      <w:r>
        <w:t>Technical incidents</w:t>
      </w:r>
    </w:p>
    <w:p>
      <w:pPr>
        <w:keepNext w:val="0"/>
        <w:numPr>
          <w:ilvl w:val="0"/>
          <w:numId w:val="10"/>
        </w:numPr>
        <w:spacing w:before="0" w:after="60" w:line="276" w:lineRule="auto"/>
      </w:pPr>
      <w:r>
        <w:rPr>
          <w:rFonts w:ascii="Calibri" w:hAnsi="Calibri"/>
          <w:color w:val="243746"/>
          <w:sz w:val="22"/>
        </w:rPr>
        <w:t>Report an incident as soon as it occurs; do not wait until the deadline.</w:t>
      </w:r>
    </w:p>
    <w:p>
      <w:pPr>
        <w:keepNext w:val="0"/>
        <w:numPr>
          <w:ilvl w:val="0"/>
          <w:numId w:val="10"/>
        </w:numPr>
        <w:spacing w:before="0" w:after="60" w:line="276" w:lineRule="auto"/>
      </w:pPr>
      <w:r>
        <w:rPr>
          <w:rFonts w:ascii="Calibri" w:hAnsi="Calibri"/>
          <w:color w:val="243746"/>
          <w:sz w:val="22"/>
        </w:rPr>
        <w:t>The technical desk records the affected team, time, evidence and attempted recovery.</w:t>
      </w:r>
    </w:p>
    <w:p>
      <w:pPr>
        <w:keepNext w:val="0"/>
        <w:numPr>
          <w:ilvl w:val="0"/>
          <w:numId w:val="10"/>
        </w:numPr>
        <w:spacing w:before="0" w:after="60" w:line="276" w:lineRule="auto"/>
      </w:pPr>
      <w:r>
        <w:rPr>
          <w:rFonts w:ascii="Calibri" w:hAnsi="Calibri"/>
          <w:color w:val="243746"/>
          <w:sz w:val="22"/>
        </w:rPr>
        <w:t>The Event Head may grant a targeted or event-wide remedy when the failure is attributable to organizer infrastructure.</w:t>
      </w:r>
    </w:p>
    <w:p>
      <w:pPr>
        <w:keepNext w:val="0"/>
        <w:numPr>
          <w:ilvl w:val="0"/>
          <w:numId w:val="10"/>
        </w:numPr>
        <w:spacing w:before="0" w:after="60" w:line="276" w:lineRule="auto"/>
      </w:pPr>
      <w:r>
        <w:rPr>
          <w:rFonts w:ascii="Calibri" w:hAnsi="Calibri"/>
          <w:color w:val="243746"/>
          <w:sz w:val="22"/>
        </w:rPr>
        <w:t>No participant may demand access to another team's system or confidential incident record.</w:t>
      </w:r>
    </w:p>
    <w:p>
      <w:pPr>
        <w:pStyle w:val="Heading2"/>
      </w:pPr>
      <w:r>
        <w:t>Appeals</w:t>
      </w:r>
    </w:p>
    <w:p>
      <w:pPr>
        <w:keepNext w:val="0"/>
        <w:numPr>
          <w:ilvl w:val="0"/>
          <w:numId w:val="10"/>
        </w:numPr>
        <w:spacing w:before="0" w:after="60" w:line="276" w:lineRule="auto"/>
      </w:pPr>
      <w:r>
        <w:rPr>
          <w:rFonts w:ascii="Calibri" w:hAnsi="Calibri"/>
          <w:color w:val="243746"/>
          <w:sz w:val="22"/>
        </w:rPr>
        <w:t>An appeal must be submitted by the registered team representative within 10 minutes of score publication.</w:t>
      </w:r>
    </w:p>
    <w:p>
      <w:pPr>
        <w:keepNext w:val="0"/>
        <w:numPr>
          <w:ilvl w:val="0"/>
          <w:numId w:val="10"/>
        </w:numPr>
        <w:spacing w:before="0" w:after="60" w:line="276" w:lineRule="auto"/>
      </w:pPr>
      <w:r>
        <w:rPr>
          <w:rFonts w:ascii="Calibri" w:hAnsi="Calibri"/>
          <w:color w:val="243746"/>
          <w:sz w:val="22"/>
        </w:rPr>
        <w:t>Appeals may address arithmetic mistakes, an incorrectly applied penalty, missing submitted evidence or a clear rule-procedure error.</w:t>
      </w:r>
    </w:p>
    <w:p>
      <w:pPr>
        <w:keepNext w:val="0"/>
        <w:numPr>
          <w:ilvl w:val="0"/>
          <w:numId w:val="10"/>
        </w:numPr>
        <w:spacing w:before="0" w:after="60" w:line="276" w:lineRule="auto"/>
      </w:pPr>
      <w:r>
        <w:rPr>
          <w:rFonts w:ascii="Calibri" w:hAnsi="Calibri"/>
          <w:color w:val="243746"/>
          <w:sz w:val="22"/>
        </w:rPr>
        <w:t>Subjective disagreement with a judge's business or technical assessment is not, by itself, grounds for rescoring.</w:t>
      </w:r>
    </w:p>
    <w:p>
      <w:pPr>
        <w:keepNext w:val="0"/>
        <w:numPr>
          <w:ilvl w:val="0"/>
          <w:numId w:val="10"/>
        </w:numPr>
        <w:spacing w:before="0" w:after="60" w:line="276" w:lineRule="auto"/>
      </w:pPr>
      <w:r>
        <w:rPr>
          <w:rFonts w:ascii="Calibri" w:hAnsi="Calibri"/>
          <w:color w:val="243746"/>
          <w:sz w:val="22"/>
        </w:rPr>
        <w:t>The Event Head reviews the record and issues a final written decision.</w:t>
      </w:r>
    </w:p>
    <w:p>
      <w:pPr>
        <w:pStyle w:val="Heading2"/>
      </w:pPr>
      <w:r>
        <w:t>Organizer powers</w:t>
      </w:r>
    </w:p>
    <w:p>
      <w:pPr>
        <w:keepNext w:val="0"/>
        <w:spacing w:before="0" w:after="120" w:line="300" w:lineRule="auto"/>
      </w:pPr>
      <w:r>
        <w:rPr>
          <w:rFonts w:ascii="Calibri" w:hAnsi="Calibri"/>
          <w:b w:val="0"/>
          <w:i w:val="0"/>
          <w:color w:val="243746"/>
          <w:sz w:val="22"/>
        </w:rPr>
        <w:t>The organizing committee may pause the event, adjust the schedule, replace a judge, verify a submission, investigate integrity concerns or issue a written rule addendum when necessary for safety and fairness. Material changes must be communicated consistently to all affected teams.</w:t>
      </w:r>
    </w:p>
    <w:p>
      <w:pPr>
        <w:pStyle w:val="Heading2"/>
      </w:pPr>
      <w:r>
        <w:t>Ownership and showcase permission</w:t>
      </w:r>
    </w:p>
    <w:p>
      <w:pPr>
        <w:keepNext w:val="0"/>
        <w:spacing w:before="0" w:after="120" w:line="300" w:lineRule="auto"/>
      </w:pPr>
      <w:r>
        <w:rPr>
          <w:rFonts w:ascii="Calibri" w:hAnsi="Calibri"/>
          <w:b w:val="0"/>
          <w:i w:val="0"/>
          <w:color w:val="243746"/>
          <w:sz w:val="22"/>
        </w:rPr>
        <w:t>Participants retain ownership of their original work. By submitting, teams permit organizers to review the project and display the team name, project title, screenshots and demo material for event reporting, unless the event registration terms state otherwise.</w:t>
      </w:r>
    </w:p>
    <w:tbl>
      <w:tblPr>
        <w:tblW w:type="dxa" w:w="9360"/>
        <w:jc w:val="left"/>
        <w:tblLayout w:type="fixed"/>
        <w:tblLook w:firstColumn="1" w:firstRow="1" w:lastColumn="0" w:lastRow="0" w:noHBand="0" w:noVBand="1" w:val="04A0"/>
        <w:tblInd w:w="120" w:type="dxa"/>
        <w:tblBorders>
          <w:top w:val="single" w:sz="8" w:space="0" w:color="D9A441"/>
          <w:left w:val="single" w:sz="8" w:space="0" w:color="D9A441"/>
          <w:bottom w:val="single" w:sz="8" w:space="0" w:color="D9A441"/>
          <w:right w:val="single" w:sz="8" w:space="0" w:color="D9A441"/>
          <w:insideH w:val="single" w:sz="8" w:space="0" w:color="D9A441"/>
          <w:insideV w:val="single" w:sz="8" w:space="0" w:color="D9A441"/>
        </w:tblBorders>
      </w:tblPr>
      <w:tblGrid>
        <w:gridCol w:w="9360"/>
      </w:tblGrid>
      <w:tr>
        <w:trPr>
          <w:cantSplit w:val="true"/>
        </w:trPr>
        <w:tc>
          <w:tcPr>
            <w:tcW w:type="dxa" w:w="9360"/>
            <w:tcMar>
              <w:top w:w="90" w:type="dxa"/>
              <w:start w:w="120" w:type="dxa"/>
              <w:bottom w:w="90" w:type="dxa"/>
              <w:end w:w="120" w:type="dxa"/>
            </w:tcMar>
            <w:vAlign w:val="center"/>
            <w:shd w:fill="FFF7E3"/>
          </w:tcPr>
          <w:p>
            <w:pPr>
              <w:keepNext w:val="0"/>
              <w:spacing w:before="0" w:after="0" w:line="276" w:lineRule="auto"/>
            </w:pPr>
            <w:r>
              <w:rPr>
                <w:rFonts w:ascii="Calibri" w:hAnsi="Calibri"/>
                <w:b/>
                <w:color w:val="D9A441"/>
                <w:sz w:val="21"/>
              </w:rPr>
              <w:t xml:space="preserve">FINAL AUTHORITY  </w:t>
            </w:r>
            <w:r>
              <w:rPr>
                <w:rFonts w:ascii="Calibri" w:hAnsi="Calibri"/>
                <w:color w:val="243746"/>
                <w:sz w:val="21"/>
              </w:rPr>
              <w:t>The Event Head's decision is final for the event, subject to the host institution's applicable policies.</w:t>
            </w:r>
          </w:p>
        </w:tc>
      </w:tr>
    </w:tbl>
    <w:p>
      <w:pPr>
        <w:keepNext w:val="0"/>
        <w:spacing w:before="0" w:after="20" w:line="300" w:lineRule="auto"/>
      </w:pPr>
    </w:p>
    <w:p>
      <w:pPr>
        <w:pStyle w:val="Heading1"/>
        <w:pageBreakBefore/>
      </w:pPr>
      <w:r>
        <w:t>12. Final participant checklist and glossary</w:t>
      </w:r>
    </w:p>
    <w:p>
      <w:pPr>
        <w:pStyle w:val="Heading2"/>
      </w:pPr>
      <w:r>
        <w:t>Before submission</w:t>
      </w:r>
    </w:p>
    <w:p>
      <w:pPr>
        <w:keepNext w:val="0"/>
        <w:numPr>
          <w:ilvl w:val="0"/>
          <w:numId w:val="10"/>
        </w:numPr>
        <w:spacing w:before="0" w:after="60" w:line="276" w:lineRule="auto"/>
      </w:pPr>
      <w:r>
        <w:rPr>
          <w:rFonts w:ascii="Calibri" w:hAnsi="Calibri"/>
          <w:color w:val="243746"/>
          <w:sz w:val="22"/>
        </w:rPr>
        <w:t>Our team has two to four registered members.</w:t>
      </w:r>
    </w:p>
    <w:p>
      <w:pPr>
        <w:keepNext w:val="0"/>
        <w:numPr>
          <w:ilvl w:val="0"/>
          <w:numId w:val="10"/>
        </w:numPr>
        <w:spacing w:before="0" w:after="60" w:line="276" w:lineRule="auto"/>
      </w:pPr>
      <w:r>
        <w:rPr>
          <w:rFonts w:ascii="Calibri" w:hAnsi="Calibri"/>
          <w:color w:val="243746"/>
          <w:sz w:val="22"/>
        </w:rPr>
        <w:t>Our judged workflow contains four to eight identifiable agents.</w:t>
      </w:r>
    </w:p>
    <w:p>
      <w:pPr>
        <w:keepNext w:val="0"/>
        <w:numPr>
          <w:ilvl w:val="0"/>
          <w:numId w:val="10"/>
        </w:numPr>
        <w:spacing w:before="0" w:after="60" w:line="276" w:lineRule="auto"/>
      </w:pPr>
      <w:r>
        <w:rPr>
          <w:rFonts w:ascii="Calibri" w:hAnsi="Calibri"/>
          <w:color w:val="243746"/>
          <w:sz w:val="22"/>
        </w:rPr>
        <w:t>Research, Finance, Marketing and Sales, and CEO responsibilities are present.</w:t>
      </w:r>
    </w:p>
    <w:p>
      <w:pPr>
        <w:keepNext w:val="0"/>
        <w:numPr>
          <w:ilvl w:val="0"/>
          <w:numId w:val="10"/>
        </w:numPr>
        <w:spacing w:before="0" w:after="60" w:line="276" w:lineRule="auto"/>
      </w:pPr>
      <w:r>
        <w:rPr>
          <w:rFonts w:ascii="Calibri" w:hAnsi="Calibri"/>
          <w:color w:val="243746"/>
          <w:sz w:val="22"/>
        </w:rPr>
        <w:t>The trace shows information exchange, disagreement and a response.</w:t>
      </w:r>
    </w:p>
    <w:p>
      <w:pPr>
        <w:keepNext w:val="0"/>
        <w:numPr>
          <w:ilvl w:val="0"/>
          <w:numId w:val="10"/>
        </w:numPr>
        <w:spacing w:before="0" w:after="60" w:line="276" w:lineRule="auto"/>
      </w:pPr>
      <w:r>
        <w:rPr>
          <w:rFonts w:ascii="Calibri" w:hAnsi="Calibri"/>
          <w:color w:val="243746"/>
          <w:sz w:val="22"/>
        </w:rPr>
        <w:t>The swarm compares at least two business strategies.</w:t>
      </w:r>
    </w:p>
    <w:p>
      <w:pPr>
        <w:keepNext w:val="0"/>
        <w:numPr>
          <w:ilvl w:val="0"/>
          <w:numId w:val="10"/>
        </w:numPr>
        <w:spacing w:before="0" w:after="60" w:line="276" w:lineRule="auto"/>
      </w:pPr>
      <w:r>
        <w:rPr>
          <w:rFonts w:ascii="Calibri" w:hAnsi="Calibri"/>
          <w:color w:val="243746"/>
          <w:sz w:val="22"/>
        </w:rPr>
        <w:t>The CEO output includes evidence, trade-offs, actions, risks, assumptions and KPIs.</w:t>
      </w:r>
    </w:p>
    <w:p>
      <w:pPr>
        <w:keepNext w:val="0"/>
        <w:numPr>
          <w:ilvl w:val="0"/>
          <w:numId w:val="10"/>
        </w:numPr>
        <w:spacing w:before="0" w:after="60" w:line="276" w:lineRule="auto"/>
      </w:pPr>
      <w:r>
        <w:rPr>
          <w:rFonts w:ascii="Calibri" w:hAnsi="Calibri"/>
          <w:color w:val="243746"/>
          <w:sz w:val="22"/>
        </w:rPr>
        <w:t>We have baseline and surprise decisions with separate evidence.</w:t>
      </w:r>
    </w:p>
    <w:p>
      <w:pPr>
        <w:keepNext w:val="0"/>
        <w:numPr>
          <w:ilvl w:val="0"/>
          <w:numId w:val="10"/>
        </w:numPr>
        <w:spacing w:before="0" w:after="60" w:line="276" w:lineRule="auto"/>
      </w:pPr>
      <w:r>
        <w:rPr>
          <w:rFonts w:ascii="Calibri" w:hAnsi="Calibri"/>
          <w:color w:val="243746"/>
          <w:sz w:val="22"/>
        </w:rPr>
        <w:t>The project includes a fallback or documented failure-handling path.</w:t>
      </w:r>
    </w:p>
    <w:p>
      <w:pPr>
        <w:keepNext w:val="0"/>
        <w:numPr>
          <w:ilvl w:val="0"/>
          <w:numId w:val="10"/>
        </w:numPr>
        <w:spacing w:before="0" w:after="60" w:line="276" w:lineRule="auto"/>
      </w:pPr>
      <w:r>
        <w:rPr>
          <w:rFonts w:ascii="Calibri" w:hAnsi="Calibri"/>
          <w:color w:val="243746"/>
          <w:sz w:val="22"/>
        </w:rPr>
        <w:t>All external tools, reused components and datasets are disclosed.</w:t>
      </w:r>
    </w:p>
    <w:p>
      <w:pPr>
        <w:keepNext w:val="0"/>
        <w:numPr>
          <w:ilvl w:val="0"/>
          <w:numId w:val="10"/>
        </w:numPr>
        <w:spacing w:before="0" w:after="60" w:line="276" w:lineRule="auto"/>
      </w:pPr>
      <w:r>
        <w:rPr>
          <w:rFonts w:ascii="Calibri" w:hAnsi="Calibri"/>
          <w:color w:val="243746"/>
          <w:sz w:val="22"/>
        </w:rPr>
        <w:t>The repository contains no secrets or unauthorized data.</w:t>
      </w:r>
    </w:p>
    <w:p>
      <w:pPr>
        <w:keepNext w:val="0"/>
        <w:numPr>
          <w:ilvl w:val="0"/>
          <w:numId w:val="10"/>
        </w:numPr>
        <w:spacing w:before="0" w:after="60" w:line="276" w:lineRule="auto"/>
      </w:pPr>
      <w:r>
        <w:rPr>
          <w:rFonts w:ascii="Calibri" w:hAnsi="Calibri"/>
          <w:color w:val="243746"/>
          <w:sz w:val="22"/>
        </w:rPr>
        <w:t>Judges can access and inspect every submitted link.</w:t>
      </w:r>
    </w:p>
    <w:p>
      <w:pPr>
        <w:keepNext w:val="0"/>
        <w:numPr>
          <w:ilvl w:val="0"/>
          <w:numId w:val="10"/>
        </w:numPr>
        <w:spacing w:before="0" w:after="60" w:line="276" w:lineRule="auto"/>
      </w:pPr>
      <w:r>
        <w:rPr>
          <w:rFonts w:ascii="Calibri" w:hAnsi="Calibri"/>
          <w:color w:val="243746"/>
          <w:sz w:val="22"/>
        </w:rPr>
        <w:t>The pitch fits the eight-minute presentation slot.</w:t>
      </w:r>
    </w:p>
    <w:p>
      <w:pPr>
        <w:pStyle w:val="Heading2"/>
      </w:pPr>
      <w:r>
        <w:t>Quick glossary</w:t>
      </w:r>
    </w:p>
    <w:tbl>
      <w:tblPr>
        <w:tblW w:type="dxa" w:w="9360"/>
        <w:tblLayout w:type="fixed"/>
        <w:tblLook w:firstColumn="1" w:firstRow="1" w:lastColumn="0" w:lastRow="0" w:noHBand="0" w:noVBand="1" w:val="04A0"/>
        <w:jc w:val="left"/>
        <w:tblInd w:w="120" w:type="dxa"/>
        <w:tblBorders>
          <w:top w:val="single" w:sz="6" w:space="0" w:color="C9D3DC"/>
          <w:left w:val="single" w:sz="6" w:space="0" w:color="C9D3DC"/>
          <w:bottom w:val="single" w:sz="6" w:space="0" w:color="C9D3DC"/>
          <w:right w:val="single" w:sz="6" w:space="0" w:color="C9D3DC"/>
          <w:insideH w:val="single" w:sz="6" w:space="0" w:color="C9D3DC"/>
          <w:insideV w:val="single" w:sz="6" w:space="0" w:color="C9D3DC"/>
        </w:tblBorders>
      </w:tblPr>
      <w:tblGrid>
        <w:gridCol w:w="2250"/>
        <w:gridCol w:w="7110"/>
      </w:tblGrid>
      <w:tr>
        <w:trPr>
          <w:tblHeader w:val="true"/>
        </w:trPr>
        <w:tc>
          <w:tcPr>
            <w:tcW w:type="dxa" w:w="2250"/>
            <w:tcMar>
              <w:top w:w="90" w:type="dxa"/>
              <w:start w:w="120" w:type="dxa"/>
              <w:bottom w:w="90" w:type="dxa"/>
              <w:end w:w="120" w:type="dxa"/>
            </w:tcMar>
            <w:vAlign w:val="center"/>
            <w:shd w:fill="007C83"/>
          </w:tcPr>
          <w:p>
            <w:pPr>
              <w:keepNext w:val="0"/>
              <w:spacing w:before="0" w:after="0" w:line="252" w:lineRule="auto"/>
            </w:pPr>
            <w:r>
              <w:rPr>
                <w:rFonts w:ascii="Calibri" w:hAnsi="Calibri"/>
                <w:b/>
                <w:color w:val="FFFFFF"/>
                <w:sz w:val="19"/>
              </w:rPr>
              <w:t>Term</w:t>
            </w:r>
          </w:p>
        </w:tc>
        <w:tc>
          <w:tcPr>
            <w:tcW w:type="dxa" w:w="7110"/>
            <w:tcMar>
              <w:top w:w="90" w:type="dxa"/>
              <w:start w:w="120" w:type="dxa"/>
              <w:bottom w:w="90" w:type="dxa"/>
              <w:end w:w="120" w:type="dxa"/>
            </w:tcMar>
            <w:vAlign w:val="center"/>
            <w:shd w:fill="007C83"/>
          </w:tcPr>
          <w:p>
            <w:pPr>
              <w:keepNext w:val="0"/>
              <w:spacing w:before="0" w:after="0" w:line="252" w:lineRule="auto"/>
            </w:pPr>
            <w:r>
              <w:rPr>
                <w:rFonts w:ascii="Calibri" w:hAnsi="Calibri"/>
                <w:b/>
                <w:color w:val="FFFFFF"/>
                <w:sz w:val="19"/>
              </w:rPr>
              <w:t>Meaning</w:t>
            </w:r>
          </w:p>
        </w:tc>
      </w:tr>
      <w:tr>
        <w:tc>
          <w:tcPr>
            <w:tcW w:type="dxa" w:w="225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Agent</w:t>
            </w:r>
          </w:p>
        </w:tc>
        <w:tc>
          <w:tcPr>
            <w:tcW w:type="dxa" w:w="711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An identifiable AI role with its own responsibility, instruction, input and output.</w:t>
            </w:r>
          </w:p>
        </w:tc>
      </w:tr>
      <w:tr>
        <w:tc>
          <w:tcPr>
            <w:tcW w:type="dxa" w:w="2250"/>
            <w:shd w:fill="F8FAFB"/>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Swarm</w:t>
            </w:r>
          </w:p>
        </w:tc>
        <w:tc>
          <w:tcPr>
            <w:tcW w:type="dxa" w:w="7110"/>
            <w:shd w:fill="F8FAFB"/>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The complete set of agents and coordination logic used by the team.</w:t>
            </w:r>
          </w:p>
        </w:tc>
      </w:tr>
      <w:tr>
        <w:tc>
          <w:tcPr>
            <w:tcW w:type="dxa" w:w="225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Department Agent</w:t>
            </w:r>
          </w:p>
        </w:tc>
        <w:tc>
          <w:tcPr>
            <w:tcW w:type="dxa" w:w="711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An agent representing a business function such as Finance or Marketing.</w:t>
            </w:r>
          </w:p>
        </w:tc>
      </w:tr>
      <w:tr>
        <w:tc>
          <w:tcPr>
            <w:tcW w:type="dxa" w:w="2250"/>
            <w:shd w:fill="F8FAFB"/>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CEO Agent</w:t>
            </w:r>
          </w:p>
        </w:tc>
        <w:tc>
          <w:tcPr>
            <w:tcW w:type="dxa" w:w="7110"/>
            <w:shd w:fill="F8FAFB"/>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The coordinating agent that resolves conflict and issues the final decision.</w:t>
            </w:r>
          </w:p>
        </w:tc>
      </w:tr>
      <w:tr>
        <w:tc>
          <w:tcPr>
            <w:tcW w:type="dxa" w:w="225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Boardroom Trace</w:t>
            </w:r>
          </w:p>
        </w:tc>
        <w:tc>
          <w:tcPr>
            <w:tcW w:type="dxa" w:w="711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The auditable record of recommendations, exchanges, challenges and synthesis.</w:t>
            </w:r>
          </w:p>
        </w:tc>
      </w:tr>
      <w:tr>
        <w:tc>
          <w:tcPr>
            <w:tcW w:type="dxa" w:w="2250"/>
            <w:shd w:fill="F8FAFB"/>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Surprise</w:t>
            </w:r>
          </w:p>
        </w:tc>
        <w:tc>
          <w:tcPr>
            <w:tcW w:type="dxa" w:w="7110"/>
            <w:shd w:fill="F8FAFB"/>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The organizer-provided change in the business environment.</w:t>
            </w:r>
          </w:p>
        </w:tc>
      </w:tr>
      <w:tr>
        <w:tc>
          <w:tcPr>
            <w:tcW w:type="dxa" w:w="225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Fallback</w:t>
            </w:r>
          </w:p>
        </w:tc>
        <w:tc>
          <w:tcPr>
            <w:tcW w:type="dxa" w:w="711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A safe alternative behaviour used when part of the workflow fails.</w:t>
            </w:r>
          </w:p>
        </w:tc>
      </w:tr>
      <w:tr>
        <w:tc>
          <w:tcPr>
            <w:tcW w:type="dxa" w:w="2250"/>
            <w:shd w:fill="F8FAFB"/>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KPI</w:t>
            </w:r>
          </w:p>
        </w:tc>
        <w:tc>
          <w:tcPr>
            <w:tcW w:type="dxa" w:w="7110"/>
            <w:shd w:fill="F8FAFB"/>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A measurable indicator used to evaluate business success.</w:t>
            </w:r>
          </w:p>
        </w:tc>
      </w:tr>
      <w:tr>
        <w:tc>
          <w:tcPr>
            <w:tcW w:type="dxa" w:w="225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Rules Desk</w:t>
            </w:r>
          </w:p>
        </w:tc>
        <w:tc>
          <w:tcPr>
            <w:tcW w:type="dxa" w:w="7110"/>
            <w:tcMar>
              <w:top w:w="90" w:type="dxa"/>
              <w:start w:w="120" w:type="dxa"/>
              <w:bottom w:w="90" w:type="dxa"/>
              <w:end w:w="120" w:type="dxa"/>
            </w:tcMar>
            <w:vAlign w:val="center"/>
          </w:tcPr>
          <w:p>
            <w:pPr>
              <w:keepNext w:val="0"/>
              <w:spacing w:before="0" w:after="0" w:line="259" w:lineRule="auto"/>
            </w:pPr>
            <w:r>
              <w:rPr>
                <w:rFonts w:ascii="Calibri" w:hAnsi="Calibri"/>
                <w:color w:val="243746"/>
                <w:sz w:val="18"/>
              </w:rPr>
              <w:t>The organizer function responsible for official rule interpretation.</w:t>
            </w:r>
          </w:p>
        </w:tc>
      </w:tr>
    </w:tbl>
    <w:p>
      <w:pPr>
        <w:keepNext w:val="0"/>
        <w:spacing w:before="0" w:after="20" w:line="300" w:lineRule="auto"/>
      </w:pPr>
    </w:p>
    <w:tbl>
      <w:tblPr>
        <w:tblW w:type="dxa" w:w="9360"/>
        <w:jc w:val="left"/>
        <w:tblLayout w:type="fixed"/>
        <w:tblLook w:firstColumn="1" w:firstRow="1" w:lastColumn="0" w:lastRow="0" w:noHBand="0" w:noVBand="1" w:val="04A0"/>
        <w:tblInd w:w="120" w:type="dxa"/>
        <w:tblBorders>
          <w:top w:val="single" w:sz="8" w:space="0" w:color="007C83"/>
          <w:left w:val="single" w:sz="8" w:space="0" w:color="007C83"/>
          <w:bottom w:val="single" w:sz="8" w:space="0" w:color="007C83"/>
          <w:right w:val="single" w:sz="8" w:space="0" w:color="007C83"/>
          <w:insideH w:val="single" w:sz="8" w:space="0" w:color="007C83"/>
          <w:insideV w:val="single" w:sz="8" w:space="0" w:color="007C83"/>
        </w:tblBorders>
      </w:tblPr>
      <w:tblGrid>
        <w:gridCol w:w="9360"/>
      </w:tblGrid>
      <w:tr>
        <w:trPr>
          <w:cantSplit w:val="true"/>
        </w:trPr>
        <w:tc>
          <w:tcPr>
            <w:tcW w:type="dxa" w:w="9360"/>
            <w:tcMar>
              <w:top w:w="90" w:type="dxa"/>
              <w:start w:w="120" w:type="dxa"/>
              <w:bottom w:w="90" w:type="dxa"/>
              <w:end w:w="120" w:type="dxa"/>
            </w:tcMar>
            <w:vAlign w:val="center"/>
            <w:shd w:fill="E8F4F4"/>
          </w:tcPr>
          <w:p>
            <w:pPr>
              <w:keepNext w:val="0"/>
              <w:spacing w:before="0" w:after="0" w:line="276" w:lineRule="auto"/>
            </w:pPr>
            <w:r>
              <w:rPr>
                <w:rFonts w:ascii="Calibri" w:hAnsi="Calibri"/>
                <w:b/>
                <w:color w:val="007C83"/>
                <w:sz w:val="21"/>
              </w:rPr>
              <w:t xml:space="preserve">REMEMBER  </w:t>
            </w:r>
            <w:r>
              <w:rPr>
                <w:rFonts w:ascii="Calibri" w:hAnsi="Calibri"/>
                <w:color w:val="243746"/>
                <w:sz w:val="21"/>
              </w:rPr>
              <w:t>The winning system is not the swarm with the most agents. It is the swarm that produces the most useful, explainable and adaptable business decision.</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right"/>
    </w:pPr>
    <w:r>
      <w:rPr>
        <w:rFonts w:ascii="Calibri" w:hAnsi="Calibri"/>
        <w:color w:val="667788"/>
        <w:sz w:val="17"/>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right"/>
    </w:pPr>
    <w:r>
      <w:rPr>
        <w:rFonts w:ascii="Calibri" w:hAnsi="Calibri"/>
        <w:b/>
        <w:color w:val="667788"/>
        <w:sz w:val="16"/>
      </w:rPr>
      <w:t>AGENTIC SWARM | OFFICIAL RULEBOOK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rPr>
        <w:rFonts w:ascii="Symbol" w:hAnsi="Symbol"/>
      </w:r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300" w:lineRule="auto"/>
      </w:pPr>
    </w:lvl>
  </w:abstractNum>
  <w:num w:numId="11">
    <w:abstractNumId w:val="10"/>
  </w:num>
  <w:abstractNum w:abstractNumId="11">
    <w:multiLevelType w:val="singleLevel"/>
    <w:lvl w:ilvl="0">
      <w:start w:val="1"/>
      <w:numFmt w:val="decimal"/>
      <w:lvlText w:val="%1."/>
      <w:suff w:val="tab"/>
      <w:pPr>
        <w:tabs>
          <w:tab w:val="num" w:pos="540"/>
        </w:tabs>
        <w:ind w:left="540" w:hanging="270"/>
        <w:spacing w:after="80" w:line="30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4374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line="240" w:lineRule="auto"/>
    </w:pPr>
    <w:rPr>
      <w:rFonts w:asciiTheme="majorHAnsi" w:eastAsiaTheme="majorEastAsia" w:hAnsiTheme="majorHAnsi" w:cstheme="majorBidi" w:ascii="Calibri" w:hAnsi="Calibri"/>
      <w:b w:val="0"/>
      <w:i/>
      <w:iCs/>
      <w:color w:val="007C8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Swarm - The AI Boardroom - Official Rulebook</dc:title>
  <dc:subject>Participant rules for an eight-hour business-focused multi-agent AI challenge</dc:subject>
  <dc:creator>Agentic Swarm Organizing Committee</dc:creator>
  <cp:keywords>Agentic Swarm, AI Boardroom, multi-agent, hackathon, business, rulebook</cp:keywords>
  <dc:description>generated by python-docx</dc:description>
  <cp:lastModifiedBy/>
  <cp:revision>1</cp:revision>
  <dcterms:created xsi:type="dcterms:W3CDTF">2013-12-23T23:15:00Z</dcterms:created>
  <dcterms:modified xsi:type="dcterms:W3CDTF">2013-12-23T23:15:00Z</dcterms:modified>
  <cp:category/>
</cp:coreProperties>
</file>