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5D719" w14:textId="77777777" w:rsidR="0063226B" w:rsidRPr="00450BEA" w:rsidRDefault="003336D7">
      <w:pPr>
        <w:spacing w:after="40"/>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32"/>
          <w:szCs w:val="32"/>
        </w:rPr>
        <w:t>Top 20 Startup Incubator Programs in India</w:t>
      </w:r>
    </w:p>
    <w:p w14:paraId="2185D71A" w14:textId="77777777" w:rsidR="0063226B" w:rsidRPr="00450BEA" w:rsidRDefault="003336D7">
      <w:pPr>
        <w:spacing w:after="180"/>
        <w:jc w:val="center"/>
        <w:rPr>
          <w:rFonts w:ascii="Bahnschrift Light" w:hAnsi="Bahnschrift Light"/>
          <w:color w:val="000000" w:themeColor="text1"/>
        </w:rPr>
      </w:pPr>
      <w:r w:rsidRPr="00450BEA">
        <w:rPr>
          <w:rFonts w:ascii="Bahnschrift Light" w:eastAsia="Calibri" w:hAnsi="Bahnschrift Light" w:cs="Calibri"/>
          <w:i/>
          <w:iCs/>
          <w:color w:val="000000" w:themeColor="text1"/>
          <w:sz w:val="19"/>
          <w:szCs w:val="19"/>
        </w:rPr>
        <w:t>Search Methodology, Ranking Justification &amp; Basic Incubator Details</w:t>
      </w:r>
    </w:p>
    <w:p w14:paraId="2185D71B" w14:textId="77777777" w:rsidR="0063226B" w:rsidRPr="00450BEA" w:rsidRDefault="003336D7">
      <w:pPr>
        <w:pStyle w:val="Heading1"/>
        <w:spacing w:before="200" w:after="80"/>
        <w:rPr>
          <w:rFonts w:ascii="Bahnschrift Light" w:hAnsi="Bahnschrift Light"/>
          <w:color w:val="000000" w:themeColor="text1"/>
        </w:rPr>
      </w:pPr>
      <w:r w:rsidRPr="00450BEA">
        <w:rPr>
          <w:rFonts w:ascii="Bahnschrift Light" w:eastAsia="Calibri" w:hAnsi="Bahnschrift Light" w:cs="Calibri"/>
          <w:b/>
          <w:bCs/>
          <w:color w:val="000000" w:themeColor="text1"/>
          <w:sz w:val="25"/>
          <w:szCs w:val="25"/>
        </w:rPr>
        <w:t>1. Objective</w:t>
      </w:r>
    </w:p>
    <w:p w14:paraId="2185D71C" w14:textId="2DCE2FDB" w:rsidR="0063226B" w:rsidRPr="00450BEA" w:rsidRDefault="003336D7">
      <w:pPr>
        <w:spacing w:after="8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Identify and rank the 20 largest and most relevant startup incubator programs in India for a startup deciding where to seek scale-stage support</w:t>
      </w:r>
      <w:r w:rsidR="008778C1" w:rsidRPr="00450BEA">
        <w:rPr>
          <w:rFonts w:ascii="Bahnschrift Light" w:eastAsia="Calibri" w:hAnsi="Bahnschrift Light" w:cs="Calibri"/>
          <w:color w:val="000000" w:themeColor="text1"/>
          <w:sz w:val="19"/>
          <w:szCs w:val="19"/>
        </w:rPr>
        <w:t xml:space="preserve">, </w:t>
      </w:r>
      <w:r w:rsidRPr="00450BEA">
        <w:rPr>
          <w:rFonts w:ascii="Bahnschrift Light" w:eastAsia="Calibri" w:hAnsi="Bahnschrift Light" w:cs="Calibri"/>
          <w:color w:val="000000" w:themeColor="text1"/>
          <w:sz w:val="19"/>
          <w:szCs w:val="19"/>
        </w:rPr>
        <w:t>capital, market access, talent and strategic partnerships.</w:t>
      </w:r>
    </w:p>
    <w:p w14:paraId="2185D71D" w14:textId="77777777" w:rsidR="0063226B" w:rsidRPr="00450BEA" w:rsidRDefault="003336D7">
      <w:pPr>
        <w:pStyle w:val="Heading1"/>
        <w:spacing w:before="200" w:after="80"/>
        <w:rPr>
          <w:rFonts w:ascii="Bahnschrift Light" w:hAnsi="Bahnschrift Light"/>
          <w:color w:val="000000" w:themeColor="text1"/>
        </w:rPr>
      </w:pPr>
      <w:r w:rsidRPr="00450BEA">
        <w:rPr>
          <w:rFonts w:ascii="Bahnschrift Light" w:eastAsia="Calibri" w:hAnsi="Bahnschrift Light" w:cs="Calibri"/>
          <w:b/>
          <w:bCs/>
          <w:color w:val="000000" w:themeColor="text1"/>
          <w:sz w:val="25"/>
          <w:szCs w:val="25"/>
        </w:rPr>
        <w:t>2. Reference Startup &amp; Scope</w:t>
      </w:r>
    </w:p>
    <w:p w14:paraId="2185D71E" w14:textId="77777777" w:rsidR="0063226B" w:rsidRPr="00450BEA" w:rsidRDefault="003336D7">
      <w:pPr>
        <w:spacing w:after="6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The ranking is built for the following reference startup, plus four working assumptions used to scope the exercise:</w:t>
      </w:r>
    </w:p>
    <w:p w14:paraId="2185D71F" w14:textId="77777777" w:rsidR="0063226B" w:rsidRPr="00450BEA" w:rsidRDefault="003336D7">
      <w:pPr>
        <w:pStyle w:val="ListParagraph"/>
        <w:numPr>
          <w:ilvl w:val="0"/>
          <w:numId w:val="1"/>
        </w:numPr>
        <w:spacing w:after="4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Reference startup: an India-based, privately held, for-profit company that has moved past the idea/MVP stage, has shown early product-market fit, and is now scaling operations, raising capital, accessing markets, building its team and forming partnerships.</w:t>
      </w:r>
    </w:p>
    <w:p w14:paraId="2185D720" w14:textId="03D4077F" w:rsidR="0063226B" w:rsidRPr="00450BEA" w:rsidRDefault="003336D7">
      <w:pPr>
        <w:pStyle w:val="ListParagraph"/>
        <w:numPr>
          <w:ilvl w:val="0"/>
          <w:numId w:val="1"/>
        </w:numPr>
        <w:spacing w:after="4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Assumption 1</w:t>
      </w:r>
      <w:r w:rsidR="008778C1"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 xml:space="preserve"> Stage: early-growth, not idea-stage.</w:t>
      </w:r>
    </w:p>
    <w:p w14:paraId="2185D721" w14:textId="07944F32" w:rsidR="0063226B" w:rsidRPr="00450BEA" w:rsidRDefault="003336D7">
      <w:pPr>
        <w:pStyle w:val="ListParagraph"/>
        <w:numPr>
          <w:ilvl w:val="0"/>
          <w:numId w:val="1"/>
        </w:numPr>
        <w:spacing w:after="4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Assumption 2</w:t>
      </w:r>
      <w:r w:rsidR="008778C1"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 xml:space="preserve"> Not university-affiliated. This does not make academic incubators irrelevant: programs such as SINE, NSRCEL, SIIC and CIIE are institutionally linked to universities/IIMs but remain highly relevant and are scored on the same terms as independent incubators.</w:t>
      </w:r>
    </w:p>
    <w:p w14:paraId="2185D722" w14:textId="65420C0B" w:rsidR="0063226B" w:rsidRPr="00450BEA" w:rsidRDefault="003336D7">
      <w:pPr>
        <w:pStyle w:val="ListParagraph"/>
        <w:numPr>
          <w:ilvl w:val="0"/>
          <w:numId w:val="1"/>
        </w:numPr>
        <w:spacing w:after="4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Assumption 3</w:t>
      </w:r>
      <w:r w:rsidR="008778C1"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 xml:space="preserve"> Sector-agnostic.</w:t>
      </w:r>
    </w:p>
    <w:p w14:paraId="2185D723" w14:textId="34DC50E4" w:rsidR="0063226B" w:rsidRPr="00450BEA" w:rsidRDefault="003336D7">
      <w:pPr>
        <w:pStyle w:val="ListParagraph"/>
        <w:numPr>
          <w:ilvl w:val="0"/>
          <w:numId w:val="1"/>
        </w:numPr>
        <w:spacing w:after="4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Assumption 4</w:t>
      </w:r>
      <w:r w:rsidR="008778C1"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 xml:space="preserve"> The startup is willing to relocate or operate in a distributed model, so incubators are not filtered by the founder's current city.</w:t>
      </w:r>
    </w:p>
    <w:p w14:paraId="2185D724" w14:textId="77777777" w:rsidR="0063226B" w:rsidRPr="00450BEA" w:rsidRDefault="003336D7">
      <w:pPr>
        <w:pStyle w:val="Heading1"/>
        <w:spacing w:before="200" w:after="80"/>
        <w:rPr>
          <w:rFonts w:ascii="Bahnschrift Light" w:hAnsi="Bahnschrift Light"/>
          <w:color w:val="000000" w:themeColor="text1"/>
        </w:rPr>
      </w:pPr>
      <w:r w:rsidRPr="00450BEA">
        <w:rPr>
          <w:rFonts w:ascii="Bahnschrift Light" w:eastAsia="Calibri" w:hAnsi="Bahnschrift Light" w:cs="Calibri"/>
          <w:b/>
          <w:bCs/>
          <w:color w:val="000000" w:themeColor="text1"/>
          <w:sz w:val="25"/>
          <w:szCs w:val="25"/>
        </w:rPr>
        <w:t>3. Search Methodology</w:t>
      </w:r>
    </w:p>
    <w:p w14:paraId="2185D725" w14:textId="549BA248" w:rsidR="0063226B" w:rsidRPr="00450BEA" w:rsidRDefault="003336D7">
      <w:pPr>
        <w:spacing w:after="8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 xml:space="preserve">The starting universe was Inc42's published list of </w:t>
      </w:r>
      <w:r w:rsidR="003E0EEB">
        <w:rPr>
          <w:rFonts w:ascii="Bahnschrift Light" w:eastAsia="Calibri" w:hAnsi="Bahnschrift Light" w:cs="Calibri"/>
          <w:color w:val="000000" w:themeColor="text1"/>
          <w:sz w:val="19"/>
          <w:szCs w:val="19"/>
        </w:rPr>
        <w:t>110</w:t>
      </w:r>
      <w:r w:rsidRPr="00450BEA">
        <w:rPr>
          <w:rFonts w:ascii="Bahnschrift Light" w:eastAsia="Calibri" w:hAnsi="Bahnschrift Light" w:cs="Calibri"/>
          <w:color w:val="000000" w:themeColor="text1"/>
          <w:sz w:val="19"/>
          <w:szCs w:val="19"/>
        </w:rPr>
        <w:t>+ startup incubators operating in India</w:t>
      </w:r>
      <w:r w:rsidR="008778C1"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 xml:space="preserve"> chosen because it is</w:t>
      </w:r>
      <w:r w:rsidR="008778C1" w:rsidRPr="00450BEA">
        <w:rPr>
          <w:rFonts w:ascii="Bahnschrift Light" w:eastAsia="Calibri" w:hAnsi="Bahnschrift Light" w:cs="Calibri"/>
          <w:color w:val="000000" w:themeColor="text1"/>
          <w:sz w:val="19"/>
          <w:szCs w:val="19"/>
        </w:rPr>
        <w:t xml:space="preserve"> one of the more reliable and</w:t>
      </w:r>
      <w:r w:rsidRPr="00450BEA">
        <w:rPr>
          <w:rFonts w:ascii="Bahnschrift Light" w:eastAsia="Calibri" w:hAnsi="Bahnschrift Light" w:cs="Calibri"/>
          <w:color w:val="000000" w:themeColor="text1"/>
          <w:sz w:val="19"/>
          <w:szCs w:val="19"/>
        </w:rPr>
        <w:t xml:space="preserve"> most comprehensive, India-specific index of incubation programs publicly available, spanning IIT/IIM-affiliated centres, government-backed missions (e.g., KSUM), corporate-anchored programs (e.g., NASSCOM 10,000 Startups, T-Hub) and independent/private incubators.</w:t>
      </w:r>
    </w:p>
    <w:p w14:paraId="2185D726" w14:textId="77777777" w:rsidR="0063226B" w:rsidRPr="00450BEA" w:rsidRDefault="003336D7">
      <w:pPr>
        <w:spacing w:after="8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Each incubator on that list was then researched against the ten parameters in Section 4 below. Because structured, comparable incubator-level data does not exist in one place, Gemini was used as a research aid to pull specific figures (capital deployed, active portfolio size, exit counts, etc.) along with the source each figure was drawn from, which kept the process auditable rather than relying on the model's unsupported claims.</w:t>
      </w:r>
    </w:p>
    <w:p w14:paraId="2185D727" w14:textId="77777777" w:rsidR="0063226B" w:rsidRPr="00450BEA" w:rsidRDefault="003336D7">
      <w:pPr>
        <w:pStyle w:val="Heading1"/>
        <w:spacing w:before="200" w:after="80"/>
        <w:rPr>
          <w:rFonts w:ascii="Bahnschrift Light" w:hAnsi="Bahnschrift Light"/>
          <w:color w:val="000000" w:themeColor="text1"/>
        </w:rPr>
      </w:pPr>
      <w:r w:rsidRPr="00450BEA">
        <w:rPr>
          <w:rFonts w:ascii="Bahnschrift Light" w:eastAsia="Calibri" w:hAnsi="Bahnschrift Light" w:cs="Calibri"/>
          <w:b/>
          <w:bCs/>
          <w:color w:val="000000" w:themeColor="text1"/>
          <w:sz w:val="25"/>
          <w:szCs w:val="25"/>
        </w:rPr>
        <w:t>4. Scoring Model</w:t>
      </w:r>
    </w:p>
    <w:p w14:paraId="2185D728" w14:textId="5DCD3A35" w:rsidR="0063226B" w:rsidRPr="00450BEA" w:rsidRDefault="003336D7">
      <w:pPr>
        <w:spacing w:after="8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Ten weighted parameters were used to translate qualitative reputation into a comparable, quantitative score. Weights reflect what most affects a scale-stage startup's outcome</w:t>
      </w:r>
      <w:r w:rsidR="00B53468" w:rsidRPr="00450BEA">
        <w:rPr>
          <w:rFonts w:ascii="Bahnschrift Light" w:eastAsia="Calibri" w:hAnsi="Bahnschrift Light" w:cs="Calibri"/>
          <w:color w:val="000000" w:themeColor="text1"/>
          <w:sz w:val="19"/>
          <w:szCs w:val="19"/>
        </w:rPr>
        <w:t>,</w:t>
      </w:r>
      <w:r w:rsidR="0054073D" w:rsidRPr="00450BEA">
        <w:rPr>
          <w:rFonts w:ascii="Bahnschrift Light" w:eastAsia="Calibri" w:hAnsi="Bahnschrift Light" w:cs="Calibri"/>
          <w:color w:val="000000" w:themeColor="text1"/>
          <w:sz w:val="19"/>
          <w:szCs w:val="19"/>
        </w:rPr>
        <w:t xml:space="preserve"> i.e.</w:t>
      </w:r>
      <w:r w:rsidRPr="00450BEA">
        <w:rPr>
          <w:rFonts w:ascii="Bahnschrift Light" w:eastAsia="Calibri" w:hAnsi="Bahnschrift Light" w:cs="Calibri"/>
          <w:color w:val="000000" w:themeColor="text1"/>
          <w:sz w:val="19"/>
          <w:szCs w:val="19"/>
        </w:rPr>
        <w:t xml:space="preserve"> exit track record, capital and portfolio quality carry the most weight; diversity and sectoral fit the least, since the reference startup is sector-agnostic.</w:t>
      </w:r>
    </w:p>
    <w:tbl>
      <w:tblPr>
        <w:tblW w:w="10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1900"/>
        <w:gridCol w:w="700"/>
        <w:gridCol w:w="3300"/>
        <w:gridCol w:w="4130"/>
      </w:tblGrid>
      <w:tr w:rsidR="0063226B" w:rsidRPr="00450BEA" w14:paraId="2185D72E" w14:textId="77777777" w:rsidTr="008778C1">
        <w:trPr>
          <w:tblHeader/>
        </w:trPr>
        <w:tc>
          <w:tcPr>
            <w:tcW w:w="4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40" w:type="dxa"/>
              <w:left w:w="60" w:type="dxa"/>
              <w:bottom w:w="40" w:type="dxa"/>
              <w:right w:w="60" w:type="dxa"/>
            </w:tcMar>
          </w:tcPr>
          <w:p w14:paraId="2185D729"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w:t>
            </w:r>
          </w:p>
        </w:tc>
        <w:tc>
          <w:tcPr>
            <w:tcW w:w="19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40" w:type="dxa"/>
              <w:left w:w="60" w:type="dxa"/>
              <w:bottom w:w="40" w:type="dxa"/>
              <w:right w:w="60" w:type="dxa"/>
            </w:tcMar>
          </w:tcPr>
          <w:p w14:paraId="2185D72A"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Parameter</w:t>
            </w:r>
          </w:p>
        </w:tc>
        <w:tc>
          <w:tcPr>
            <w:tcW w:w="7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40" w:type="dxa"/>
              <w:left w:w="60" w:type="dxa"/>
              <w:bottom w:w="40" w:type="dxa"/>
              <w:right w:w="60" w:type="dxa"/>
            </w:tcMar>
          </w:tcPr>
          <w:p w14:paraId="2185D72B"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Weight</w:t>
            </w:r>
          </w:p>
        </w:tc>
        <w:tc>
          <w:tcPr>
            <w:tcW w:w="3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40" w:type="dxa"/>
              <w:left w:w="60" w:type="dxa"/>
              <w:bottom w:w="40" w:type="dxa"/>
              <w:right w:w="60" w:type="dxa"/>
            </w:tcMar>
          </w:tcPr>
          <w:p w14:paraId="2185D72C"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What it measures</w:t>
            </w:r>
          </w:p>
        </w:tc>
        <w:tc>
          <w:tcPr>
            <w:tcW w:w="41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40" w:type="dxa"/>
              <w:left w:w="60" w:type="dxa"/>
              <w:bottom w:w="40" w:type="dxa"/>
              <w:right w:w="60" w:type="dxa"/>
            </w:tcMar>
          </w:tcPr>
          <w:p w14:paraId="2185D72D"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Why it matters</w:t>
            </w:r>
          </w:p>
        </w:tc>
      </w:tr>
      <w:tr w:rsidR="0063226B" w:rsidRPr="00450BEA" w14:paraId="2185D734" w14:textId="77777777" w:rsidTr="008778C1">
        <w:tc>
          <w:tcPr>
            <w:tcW w:w="4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2F"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1</w:t>
            </w:r>
          </w:p>
        </w:tc>
        <w:tc>
          <w:tcPr>
            <w:tcW w:w="19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0"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Track record of exits</w:t>
            </w:r>
          </w:p>
        </w:tc>
        <w:tc>
          <w:tcPr>
            <w:tcW w:w="7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1"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15%</w:t>
            </w:r>
          </w:p>
        </w:tc>
        <w:tc>
          <w:tcPr>
            <w:tcW w:w="3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2"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M&amp;A, IPOs, $10M+ exits; unicorns produced</w:t>
            </w:r>
          </w:p>
        </w:tc>
        <w:tc>
          <w:tcPr>
            <w:tcW w:w="41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3"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Proof the incubator can help a startup scale to an exit</w:t>
            </w:r>
          </w:p>
        </w:tc>
      </w:tr>
      <w:tr w:rsidR="0063226B" w:rsidRPr="00450BEA" w14:paraId="2185D73A" w14:textId="77777777" w:rsidTr="008778C1">
        <w:tc>
          <w:tcPr>
            <w:tcW w:w="4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5"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2</w:t>
            </w:r>
          </w:p>
        </w:tc>
        <w:tc>
          <w:tcPr>
            <w:tcW w:w="19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6"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Direct capital deployed</w:t>
            </w:r>
          </w:p>
        </w:tc>
        <w:tc>
          <w:tcPr>
            <w:tcW w:w="7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7"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12%</w:t>
            </w:r>
          </w:p>
        </w:tc>
        <w:tc>
          <w:tcPr>
            <w:tcW w:w="3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8"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Total INR (Cr) invested / granted</w:t>
            </w:r>
          </w:p>
        </w:tc>
        <w:tc>
          <w:tcPr>
            <w:tcW w:w="41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9"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De-risks early growth; signals commitment to the portfolio</w:t>
            </w:r>
          </w:p>
        </w:tc>
      </w:tr>
      <w:tr w:rsidR="0063226B" w:rsidRPr="00450BEA" w14:paraId="2185D740" w14:textId="77777777" w:rsidTr="008778C1">
        <w:tc>
          <w:tcPr>
            <w:tcW w:w="4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B"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3</w:t>
            </w:r>
          </w:p>
        </w:tc>
        <w:tc>
          <w:tcPr>
            <w:tcW w:w="19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C"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Portfolio quality</w:t>
            </w:r>
          </w:p>
        </w:tc>
        <w:tc>
          <w:tcPr>
            <w:tcW w:w="7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D"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12%</w:t>
            </w:r>
          </w:p>
        </w:tc>
        <w:tc>
          <w:tcPr>
            <w:tcW w:w="3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E"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 of startups that went on to raise funding</w:t>
            </w:r>
          </w:p>
        </w:tc>
        <w:tc>
          <w:tcPr>
            <w:tcW w:w="41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3F"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Quality of companies the incubator selects and mentors</w:t>
            </w:r>
          </w:p>
        </w:tc>
      </w:tr>
      <w:tr w:rsidR="0063226B" w:rsidRPr="00450BEA" w14:paraId="2185D746" w14:textId="77777777" w:rsidTr="008778C1">
        <w:tc>
          <w:tcPr>
            <w:tcW w:w="4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1"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4</w:t>
            </w:r>
          </w:p>
        </w:tc>
        <w:tc>
          <w:tcPr>
            <w:tcW w:w="19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2"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Current active capacity</w:t>
            </w:r>
          </w:p>
        </w:tc>
        <w:tc>
          <w:tcPr>
            <w:tcW w:w="7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3"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12%</w:t>
            </w:r>
          </w:p>
        </w:tc>
        <w:tc>
          <w:tcPr>
            <w:tcW w:w="3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4"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 of startups actively incubating today</w:t>
            </w:r>
          </w:p>
        </w:tc>
        <w:tc>
          <w:tcPr>
            <w:tcW w:w="41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5"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Ongoing support availability for new founders</w:t>
            </w:r>
          </w:p>
        </w:tc>
      </w:tr>
      <w:tr w:rsidR="0063226B" w:rsidRPr="00450BEA" w14:paraId="2185D74C" w14:textId="77777777" w:rsidTr="008778C1">
        <w:tc>
          <w:tcPr>
            <w:tcW w:w="4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7"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5</w:t>
            </w:r>
          </w:p>
        </w:tc>
        <w:tc>
          <w:tcPr>
            <w:tcW w:w="19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8"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Age &amp; operational maturity</w:t>
            </w:r>
          </w:p>
        </w:tc>
        <w:tc>
          <w:tcPr>
            <w:tcW w:w="7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9"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8%</w:t>
            </w:r>
          </w:p>
        </w:tc>
        <w:tc>
          <w:tcPr>
            <w:tcW w:w="3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A"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Years operating; institutional backing</w:t>
            </w:r>
          </w:p>
        </w:tc>
        <w:tc>
          <w:tcPr>
            <w:tcW w:w="41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B"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Stability and staying power</w:t>
            </w:r>
          </w:p>
        </w:tc>
      </w:tr>
      <w:tr w:rsidR="0063226B" w:rsidRPr="00450BEA" w14:paraId="2185D752" w14:textId="77777777" w:rsidTr="008778C1">
        <w:tc>
          <w:tcPr>
            <w:tcW w:w="4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D"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6</w:t>
            </w:r>
          </w:p>
        </w:tc>
        <w:tc>
          <w:tcPr>
            <w:tcW w:w="19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E"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Corporate partnerships</w:t>
            </w:r>
          </w:p>
        </w:tc>
        <w:tc>
          <w:tcPr>
            <w:tcW w:w="7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4F"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10%</w:t>
            </w:r>
          </w:p>
        </w:tc>
        <w:tc>
          <w:tcPr>
            <w:tcW w:w="3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0"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Count of Fortune 500 / major corporate tie-ups</w:t>
            </w:r>
          </w:p>
        </w:tc>
        <w:tc>
          <w:tcPr>
            <w:tcW w:w="41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1"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Market access and customer-acquisition channels</w:t>
            </w:r>
          </w:p>
        </w:tc>
      </w:tr>
      <w:tr w:rsidR="0063226B" w:rsidRPr="00450BEA" w14:paraId="2185D758" w14:textId="77777777" w:rsidTr="008778C1">
        <w:tc>
          <w:tcPr>
            <w:tcW w:w="4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3"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7</w:t>
            </w:r>
          </w:p>
        </w:tc>
        <w:tc>
          <w:tcPr>
            <w:tcW w:w="19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4"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Investor network</w:t>
            </w:r>
          </w:p>
        </w:tc>
        <w:tc>
          <w:tcPr>
            <w:tcW w:w="7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5"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10%</w:t>
            </w:r>
          </w:p>
        </w:tc>
        <w:tc>
          <w:tcPr>
            <w:tcW w:w="3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6"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 unique VCs backing 2+ portfolio companies</w:t>
            </w:r>
          </w:p>
        </w:tc>
        <w:tc>
          <w:tcPr>
            <w:tcW w:w="41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7"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Follow-on capital access (Series A/B)</w:t>
            </w:r>
          </w:p>
        </w:tc>
      </w:tr>
      <w:tr w:rsidR="0063226B" w:rsidRPr="00450BEA" w14:paraId="2185D75E" w14:textId="77777777" w:rsidTr="008778C1">
        <w:tc>
          <w:tcPr>
            <w:tcW w:w="4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9"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8</w:t>
            </w:r>
          </w:p>
        </w:tc>
        <w:tc>
          <w:tcPr>
            <w:tcW w:w="19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A"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Talent pool &amp; recruitment</w:t>
            </w:r>
          </w:p>
        </w:tc>
        <w:tc>
          <w:tcPr>
            <w:tcW w:w="7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B"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8%</w:t>
            </w:r>
          </w:p>
        </w:tc>
        <w:tc>
          <w:tcPr>
            <w:tcW w:w="3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C"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Alumni network; hiring-support programs</w:t>
            </w:r>
          </w:p>
        </w:tc>
        <w:tc>
          <w:tcPr>
            <w:tcW w:w="41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D"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Help hiring early employees</w:t>
            </w:r>
          </w:p>
        </w:tc>
      </w:tr>
      <w:tr w:rsidR="0063226B" w:rsidRPr="00450BEA" w14:paraId="2185D764" w14:textId="77777777" w:rsidTr="008778C1">
        <w:tc>
          <w:tcPr>
            <w:tcW w:w="4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5F"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9</w:t>
            </w:r>
          </w:p>
        </w:tc>
        <w:tc>
          <w:tcPr>
            <w:tcW w:w="19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60"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Sectoral expertise</w:t>
            </w:r>
          </w:p>
        </w:tc>
        <w:tc>
          <w:tcPr>
            <w:tcW w:w="7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61"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7%</w:t>
            </w:r>
          </w:p>
        </w:tc>
        <w:tc>
          <w:tcPr>
            <w:tcW w:w="3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62"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Specialised programs &amp; domain mentors</w:t>
            </w:r>
          </w:p>
        </w:tc>
        <w:tc>
          <w:tcPr>
            <w:tcW w:w="41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63"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Sector-specific mentorship (fintech, AI, climate, biotech)</w:t>
            </w:r>
          </w:p>
        </w:tc>
      </w:tr>
      <w:tr w:rsidR="0063226B" w:rsidRPr="00450BEA" w14:paraId="2185D76A" w14:textId="77777777" w:rsidTr="008778C1">
        <w:tc>
          <w:tcPr>
            <w:tcW w:w="4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65"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10</w:t>
            </w:r>
          </w:p>
        </w:tc>
        <w:tc>
          <w:tcPr>
            <w:tcW w:w="19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66"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Geographic &amp; demographic diversity</w:t>
            </w:r>
          </w:p>
        </w:tc>
        <w:tc>
          <w:tcPr>
            <w:tcW w:w="7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67"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6%</w:t>
            </w:r>
          </w:p>
        </w:tc>
        <w:tc>
          <w:tcPr>
            <w:tcW w:w="3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68"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Multi-city presence; Tier-2 startups; female founders</w:t>
            </w:r>
          </w:p>
        </w:tc>
        <w:tc>
          <w:tcPr>
            <w:tcW w:w="41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69"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Inclusive ecosystem and founder diversity</w:t>
            </w:r>
          </w:p>
        </w:tc>
      </w:tr>
    </w:tbl>
    <w:p w14:paraId="2185D76B" w14:textId="29132159" w:rsidR="0063226B" w:rsidRPr="00450BEA" w:rsidRDefault="003336D7">
      <w:pPr>
        <w:spacing w:before="80" w:after="8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Each parameter's raw values were converted to a 0</w:t>
      </w:r>
      <w:r w:rsidR="00B53468"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1 scale using min</w:t>
      </w:r>
      <w:r w:rsidR="00B53468"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max normalization, multiplied by its weight, and summed into a single final score (out of 100) per incubator.</w:t>
      </w:r>
    </w:p>
    <w:p w14:paraId="2185D76C" w14:textId="06DA9CD3" w:rsidR="0063226B" w:rsidRPr="00450BEA" w:rsidRDefault="003336D7">
      <w:pPr>
        <w:pStyle w:val="Heading1"/>
        <w:spacing w:before="200" w:after="80"/>
        <w:rPr>
          <w:rFonts w:ascii="Bahnschrift Light" w:hAnsi="Bahnschrift Light"/>
          <w:color w:val="000000" w:themeColor="text1"/>
        </w:rPr>
      </w:pPr>
      <w:r w:rsidRPr="00450BEA">
        <w:rPr>
          <w:rFonts w:ascii="Bahnschrift Light" w:eastAsia="Calibri" w:hAnsi="Bahnschrift Light" w:cs="Calibri"/>
          <w:b/>
          <w:bCs/>
          <w:color w:val="000000" w:themeColor="text1"/>
          <w:sz w:val="25"/>
          <w:szCs w:val="25"/>
        </w:rPr>
        <w:lastRenderedPageBreak/>
        <w:t>5. Data Reliability</w:t>
      </w:r>
      <w:r w:rsidR="005F4B99" w:rsidRPr="00450BEA">
        <w:rPr>
          <w:rFonts w:ascii="Bahnschrift Light" w:eastAsia="Calibri" w:hAnsi="Bahnschrift Light" w:cs="Calibri"/>
          <w:b/>
          <w:bCs/>
          <w:color w:val="000000" w:themeColor="text1"/>
          <w:sz w:val="25"/>
          <w:szCs w:val="25"/>
        </w:rPr>
        <w:t>:</w:t>
      </w:r>
      <w:r w:rsidRPr="00450BEA">
        <w:rPr>
          <w:rFonts w:ascii="Bahnschrift Light" w:eastAsia="Calibri" w:hAnsi="Bahnschrift Light" w:cs="Calibri"/>
          <w:b/>
          <w:bCs/>
          <w:color w:val="000000" w:themeColor="text1"/>
          <w:sz w:val="25"/>
          <w:szCs w:val="25"/>
        </w:rPr>
        <w:t xml:space="preserve"> Key Limitation</w:t>
      </w:r>
    </w:p>
    <w:p w14:paraId="2185D76D" w14:textId="499AFC33" w:rsidR="0063226B" w:rsidRPr="00450BEA" w:rsidRDefault="003336D7">
      <w:pPr>
        <w:spacing w:after="8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The single biggest constraint on this exercise was data availability and reliability, not methodology. Indian incubators do not publish standardized, comparable metrics (few disclose capital deployed or exit counts in a consistent format), so a meaningful share of the figures had to be sourced from secondary or unverified sources</w:t>
      </w:r>
      <w:r w:rsidR="005F4B99"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 xml:space="preserve"> startup-media coverage, incubator self-reporting and aggregator databases such as </w:t>
      </w:r>
      <w:r w:rsidR="0054073D" w:rsidRPr="00450BEA">
        <w:rPr>
          <w:rFonts w:ascii="Bahnschrift Light" w:eastAsia="Calibri" w:hAnsi="Bahnschrift Light" w:cs="Calibri"/>
          <w:color w:val="000000" w:themeColor="text1"/>
          <w:sz w:val="19"/>
          <w:szCs w:val="19"/>
        </w:rPr>
        <w:t>pitchbook</w:t>
      </w:r>
      <w:r w:rsidR="005F4B99"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 xml:space="preserve"> rather than audited or first-party disclosures. Scores should therefore be read as a directional, comparative ranking, not an audited statistic.</w:t>
      </w:r>
    </w:p>
    <w:p w14:paraId="2185D76E" w14:textId="77777777" w:rsidR="0063226B" w:rsidRPr="00450BEA" w:rsidRDefault="003336D7">
      <w:pPr>
        <w:pStyle w:val="Heading1"/>
        <w:spacing w:before="200" w:after="80"/>
        <w:rPr>
          <w:rFonts w:ascii="Bahnschrift Light" w:hAnsi="Bahnschrift Light"/>
          <w:color w:val="000000" w:themeColor="text1"/>
        </w:rPr>
      </w:pPr>
      <w:r w:rsidRPr="00450BEA">
        <w:rPr>
          <w:rFonts w:ascii="Bahnschrift Light" w:eastAsia="Calibri" w:hAnsi="Bahnschrift Light" w:cs="Calibri"/>
          <w:b/>
          <w:bCs/>
          <w:color w:val="000000" w:themeColor="text1"/>
          <w:sz w:val="25"/>
          <w:szCs w:val="25"/>
        </w:rPr>
        <w:t>6. Top 20 Ranking</w:t>
      </w:r>
    </w:p>
    <w:tbl>
      <w:tblPr>
        <w:tblW w:w="10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AE9F7" w:themeFill="text2" w:themeFillTint="1A"/>
        <w:tblCellMar>
          <w:left w:w="10" w:type="dxa"/>
          <w:right w:w="10" w:type="dxa"/>
        </w:tblCellMar>
        <w:tblLook w:val="0000" w:firstRow="0" w:lastRow="0" w:firstColumn="0" w:lastColumn="0" w:noHBand="0" w:noVBand="0"/>
      </w:tblPr>
      <w:tblGrid>
        <w:gridCol w:w="500"/>
        <w:gridCol w:w="5000"/>
        <w:gridCol w:w="3630"/>
        <w:gridCol w:w="1300"/>
      </w:tblGrid>
      <w:tr w:rsidR="0063226B" w:rsidRPr="00450BEA" w14:paraId="2185D773" w14:textId="77777777" w:rsidTr="008778C1">
        <w:trPr>
          <w:tblHeader/>
        </w:trPr>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40" w:type="dxa"/>
              <w:left w:w="60" w:type="dxa"/>
              <w:bottom w:w="40" w:type="dxa"/>
              <w:right w:w="60" w:type="dxa"/>
            </w:tcMar>
          </w:tcPr>
          <w:p w14:paraId="2185D76F"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Rank</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40" w:type="dxa"/>
              <w:left w:w="60" w:type="dxa"/>
              <w:bottom w:w="40" w:type="dxa"/>
              <w:right w:w="60" w:type="dxa"/>
            </w:tcMar>
          </w:tcPr>
          <w:p w14:paraId="2185D770"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Incubator</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40" w:type="dxa"/>
              <w:left w:w="60" w:type="dxa"/>
              <w:bottom w:w="40" w:type="dxa"/>
              <w:right w:w="60" w:type="dxa"/>
            </w:tcMar>
          </w:tcPr>
          <w:p w14:paraId="2185D771"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Primary Location</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40" w:type="dxa"/>
              <w:left w:w="60" w:type="dxa"/>
              <w:bottom w:w="40" w:type="dxa"/>
              <w:right w:w="60" w:type="dxa"/>
            </w:tcMar>
          </w:tcPr>
          <w:p w14:paraId="2185D772"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Score /100</w:t>
            </w:r>
          </w:p>
        </w:tc>
      </w:tr>
      <w:tr w:rsidR="0063226B" w:rsidRPr="00450BEA" w14:paraId="2185D778"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74"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1</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75"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NASSCOM 10,000 Startups</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76"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Multi-city (10 hubs incl. Bengaluru, Hyderabad, Pune)</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77"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57.7</w:t>
            </w:r>
          </w:p>
        </w:tc>
      </w:tr>
      <w:tr w:rsidR="0063226B" w:rsidRPr="00450BEA" w14:paraId="2185D77D"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79"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2</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7A"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CIIE, IIM Ahmedabad</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7B"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Ahmedabad / Pune</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7C"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44.8</w:t>
            </w:r>
          </w:p>
        </w:tc>
      </w:tr>
      <w:tr w:rsidR="0063226B" w:rsidRPr="00450BEA" w14:paraId="2185D782"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7E"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3</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7F"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T-Hub</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0"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Hyderabad</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1"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43.7</w:t>
            </w:r>
          </w:p>
        </w:tc>
      </w:tr>
      <w:tr w:rsidR="0063226B" w:rsidRPr="00450BEA" w14:paraId="2185D787"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3"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4</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4"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SINE, IIT Bombay</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5"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Mumbai</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6"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42.2</w:t>
            </w:r>
          </w:p>
        </w:tc>
      </w:tr>
      <w:tr w:rsidR="0063226B" w:rsidRPr="00450BEA" w14:paraId="2185D78C"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8"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5</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9"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IIT Madras Incubation Cell (IITMIC)</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A"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Chennai</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B"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39.5</w:t>
            </w:r>
          </w:p>
        </w:tc>
      </w:tr>
      <w:tr w:rsidR="0063226B" w:rsidRPr="00450BEA" w14:paraId="2185D791"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D"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6</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E"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FITT, IIT Delhi</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8F"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Delhi</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0"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35.3</w:t>
            </w:r>
          </w:p>
        </w:tc>
      </w:tr>
      <w:tr w:rsidR="0063226B" w:rsidRPr="00450BEA" w14:paraId="2185D796"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2"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7</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3"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Life Science Incubator, IKP Knowledge Park</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4"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Hyderabad</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5"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33.4</w:t>
            </w:r>
          </w:p>
        </w:tc>
      </w:tr>
      <w:tr w:rsidR="0063226B" w:rsidRPr="00450BEA" w14:paraId="2185D79B"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7"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8</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8"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NSRCEL, IIM Bangalore</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9"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Bengaluru</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A"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32.1</w:t>
            </w:r>
          </w:p>
        </w:tc>
      </w:tr>
      <w:tr w:rsidR="0063226B" w:rsidRPr="00450BEA" w14:paraId="2185D7A0"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C"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9</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D"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Kerala Startup Mission (KSUM)</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E"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Thiruvananthapuram</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9F"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31.9</w:t>
            </w:r>
          </w:p>
        </w:tc>
      </w:tr>
      <w:tr w:rsidR="0063226B" w:rsidRPr="00450BEA" w14:paraId="2185D7A5"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1"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10</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2"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Maker Village</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3"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Kochi</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4"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31.0</w:t>
            </w:r>
          </w:p>
        </w:tc>
      </w:tr>
      <w:tr w:rsidR="0063226B" w:rsidRPr="00450BEA" w14:paraId="2185D7AA"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6"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11</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7"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Bio Incubator, C-CAMP</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8"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Bengaluru</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9"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27.3</w:t>
            </w:r>
          </w:p>
        </w:tc>
      </w:tr>
      <w:tr w:rsidR="0063226B" w:rsidRPr="00450BEA" w14:paraId="2185D7AF"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B"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12</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C"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IIM Calcutta Innovation Park</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D"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Kolkata</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AE"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25.4</w:t>
            </w:r>
          </w:p>
        </w:tc>
      </w:tr>
      <w:tr w:rsidR="0063226B" w:rsidRPr="00450BEA" w14:paraId="2185D7B4"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0"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13</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1"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 xml:space="preserve">Venture </w:t>
            </w:r>
            <w:proofErr w:type="spellStart"/>
            <w:r w:rsidRPr="00450BEA">
              <w:rPr>
                <w:rFonts w:ascii="Bahnschrift Light" w:eastAsia="Calibri" w:hAnsi="Bahnschrift Light" w:cs="Calibri"/>
                <w:color w:val="000000" w:themeColor="text1"/>
                <w:sz w:val="16"/>
                <w:szCs w:val="16"/>
              </w:rPr>
              <w:t>Center</w:t>
            </w:r>
            <w:proofErr w:type="spellEnd"/>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2"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Pune</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3"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24.6</w:t>
            </w:r>
          </w:p>
        </w:tc>
      </w:tr>
      <w:tr w:rsidR="0063226B" w:rsidRPr="00450BEA" w14:paraId="2185D7B9"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5"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14</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6"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STEP, IIT Roorkee</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7"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Roorkee</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8"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24.0</w:t>
            </w:r>
          </w:p>
        </w:tc>
      </w:tr>
      <w:tr w:rsidR="0063226B" w:rsidRPr="00450BEA" w14:paraId="2185D7BE"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A"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15</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B"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MITCON Biotech Business Incubation Centre</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C"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Pune</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D"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23.5</w:t>
            </w:r>
          </w:p>
        </w:tc>
      </w:tr>
      <w:tr w:rsidR="0063226B" w:rsidRPr="00450BEA" w14:paraId="2185D7C3"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BF"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16</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0"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SIIC, IIT Kanpur</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1"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Kanpur</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2"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23.5</w:t>
            </w:r>
          </w:p>
        </w:tc>
      </w:tr>
      <w:tr w:rsidR="0063226B" w:rsidRPr="00450BEA" w14:paraId="2185D7C8"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4"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17</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5"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IIIT-H Foundation</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6"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Hyderabad</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7"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21.5</w:t>
            </w:r>
          </w:p>
        </w:tc>
      </w:tr>
      <w:tr w:rsidR="0063226B" w:rsidRPr="00450BEA" w14:paraId="2185D7CD"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9"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18</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A"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Amity Innovation Incubator</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B"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Noida</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C"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20.9</w:t>
            </w:r>
          </w:p>
        </w:tc>
      </w:tr>
      <w:tr w:rsidR="0063226B" w:rsidRPr="00450BEA" w14:paraId="2185D7D2"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E"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19</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CF"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IKP Eden</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D0"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Bengaluru</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D1"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20.4</w:t>
            </w:r>
          </w:p>
        </w:tc>
      </w:tr>
      <w:tr w:rsidR="0063226B" w:rsidRPr="00450BEA" w14:paraId="2185D7D7" w14:textId="77777777" w:rsidTr="008778C1">
        <w:tc>
          <w:tcPr>
            <w:tcW w:w="5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D3"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b/>
                <w:bCs/>
                <w:color w:val="000000" w:themeColor="text1"/>
                <w:sz w:val="16"/>
                <w:szCs w:val="16"/>
              </w:rPr>
              <w:t>20</w:t>
            </w:r>
          </w:p>
        </w:tc>
        <w:tc>
          <w:tcPr>
            <w:tcW w:w="50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D4"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TBI, BITS Pilani</w:t>
            </w:r>
          </w:p>
        </w:tc>
        <w:tc>
          <w:tcPr>
            <w:tcW w:w="363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D5" w14:textId="77777777" w:rsidR="0063226B" w:rsidRPr="00450BEA" w:rsidRDefault="003336D7">
            <w:pP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Pilani</w:t>
            </w:r>
          </w:p>
        </w:tc>
        <w:tc>
          <w:tcPr>
            <w:tcW w:w="1300" w:type="dxa"/>
            <w:tcBorders>
              <w:top w:val="single" w:sz="2" w:space="0" w:color="BFBFBF"/>
              <w:left w:val="single" w:sz="2" w:space="0" w:color="BFBFBF"/>
              <w:bottom w:val="single" w:sz="2" w:space="0" w:color="BFBFBF"/>
              <w:right w:val="single" w:sz="2" w:space="0" w:color="BFBFBF"/>
            </w:tcBorders>
            <w:shd w:val="clear" w:color="auto" w:fill="DAE9F7" w:themeFill="text2" w:themeFillTint="1A"/>
            <w:tcMar>
              <w:top w:w="30" w:type="dxa"/>
              <w:left w:w="60" w:type="dxa"/>
              <w:bottom w:w="30" w:type="dxa"/>
              <w:right w:w="60" w:type="dxa"/>
            </w:tcMar>
          </w:tcPr>
          <w:p w14:paraId="2185D7D6" w14:textId="77777777" w:rsidR="0063226B" w:rsidRPr="00450BEA" w:rsidRDefault="003336D7">
            <w:pPr>
              <w:jc w:val="center"/>
              <w:rPr>
                <w:rFonts w:ascii="Bahnschrift Light" w:hAnsi="Bahnschrift Light"/>
                <w:color w:val="000000" w:themeColor="text1"/>
              </w:rPr>
            </w:pPr>
            <w:r w:rsidRPr="00450BEA">
              <w:rPr>
                <w:rFonts w:ascii="Bahnschrift Light" w:eastAsia="Calibri" w:hAnsi="Bahnschrift Light" w:cs="Calibri"/>
                <w:color w:val="000000" w:themeColor="text1"/>
                <w:sz w:val="16"/>
                <w:szCs w:val="16"/>
              </w:rPr>
              <w:t>20.2</w:t>
            </w:r>
          </w:p>
        </w:tc>
      </w:tr>
    </w:tbl>
    <w:p w14:paraId="2185D7D8" w14:textId="77915F07" w:rsidR="0063226B" w:rsidRPr="00450BEA" w:rsidRDefault="003336D7">
      <w:pPr>
        <w:spacing w:before="80" w:after="8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 xml:space="preserve">Full parameter-level data, normalized scores and sourcing for all 20 incubators (and the underlying </w:t>
      </w:r>
      <w:r w:rsidR="003E0EEB">
        <w:rPr>
          <w:rFonts w:ascii="Bahnschrift Light" w:eastAsia="Calibri" w:hAnsi="Bahnschrift Light" w:cs="Calibri"/>
          <w:color w:val="000000" w:themeColor="text1"/>
          <w:sz w:val="19"/>
          <w:szCs w:val="19"/>
        </w:rPr>
        <w:t>110</w:t>
      </w:r>
      <w:r w:rsidRPr="00450BEA">
        <w:rPr>
          <w:rFonts w:ascii="Bahnschrift Light" w:eastAsia="Calibri" w:hAnsi="Bahnschrift Light" w:cs="Calibri"/>
          <w:color w:val="000000" w:themeColor="text1"/>
          <w:sz w:val="19"/>
          <w:szCs w:val="19"/>
        </w:rPr>
        <w:t>+ long-list) are provided in the accompanying spreadsheet.</w:t>
      </w:r>
    </w:p>
    <w:p w14:paraId="2185D7D9" w14:textId="77777777" w:rsidR="0063226B" w:rsidRPr="00450BEA" w:rsidRDefault="003336D7">
      <w:pPr>
        <w:pStyle w:val="Heading1"/>
        <w:spacing w:before="200" w:after="80"/>
        <w:rPr>
          <w:rFonts w:ascii="Bahnschrift Light" w:hAnsi="Bahnschrift Light"/>
          <w:color w:val="000000" w:themeColor="text1"/>
        </w:rPr>
      </w:pPr>
      <w:r w:rsidRPr="00450BEA">
        <w:rPr>
          <w:rFonts w:ascii="Bahnschrift Light" w:eastAsia="Calibri" w:hAnsi="Bahnschrift Light" w:cs="Calibri"/>
          <w:b/>
          <w:bCs/>
          <w:color w:val="000000" w:themeColor="text1"/>
          <w:sz w:val="25"/>
          <w:szCs w:val="25"/>
        </w:rPr>
        <w:t>7. Ranking Justification &amp; How to Read the Scores</w:t>
      </w:r>
    </w:p>
    <w:p w14:paraId="2185D7DA" w14:textId="2E7FDCDF" w:rsidR="0063226B" w:rsidRPr="00450BEA" w:rsidRDefault="003336D7">
      <w:pPr>
        <w:spacing w:after="8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The model is designed to reward proven ability to help a startup scale</w:t>
      </w:r>
      <w:r w:rsidR="0025720C" w:rsidRPr="00450BEA">
        <w:rPr>
          <w:rFonts w:ascii="Bahnschrift Light" w:eastAsia="Calibri" w:hAnsi="Bahnschrift Light" w:cs="Calibri"/>
          <w:color w:val="000000" w:themeColor="text1"/>
          <w:sz w:val="19"/>
          <w:szCs w:val="19"/>
        </w:rPr>
        <w:t>. S</w:t>
      </w:r>
      <w:r w:rsidRPr="00450BEA">
        <w:rPr>
          <w:rFonts w:ascii="Bahnschrift Light" w:eastAsia="Calibri" w:hAnsi="Bahnschrift Light" w:cs="Calibri"/>
          <w:color w:val="000000" w:themeColor="text1"/>
          <w:sz w:val="19"/>
          <w:szCs w:val="19"/>
        </w:rPr>
        <w:t xml:space="preserve">cale-driven metrics can also </w:t>
      </w:r>
      <w:r w:rsidR="0025720C" w:rsidRPr="00450BEA">
        <w:rPr>
          <w:rFonts w:ascii="Bahnschrift Light" w:eastAsia="Calibri" w:hAnsi="Bahnschrift Light" w:cs="Calibri"/>
          <w:color w:val="000000" w:themeColor="text1"/>
          <w:sz w:val="19"/>
          <w:szCs w:val="19"/>
        </w:rPr>
        <w:t>favour</w:t>
      </w:r>
      <w:r w:rsidRPr="00450BEA">
        <w:rPr>
          <w:rFonts w:ascii="Bahnschrift Light" w:eastAsia="Calibri" w:hAnsi="Bahnschrift Light" w:cs="Calibri"/>
          <w:color w:val="000000" w:themeColor="text1"/>
          <w:sz w:val="19"/>
          <w:szCs w:val="19"/>
        </w:rPr>
        <w:t xml:space="preserve"> large, well-funded ecosystem platforms over smaller incubators that are equally effective per-startup. This is worth keeping in mind when reading individual placements:</w:t>
      </w:r>
    </w:p>
    <w:p w14:paraId="2185D7DB" w14:textId="765BC548" w:rsidR="0063226B" w:rsidRPr="00450BEA" w:rsidRDefault="003336D7">
      <w:pPr>
        <w:pStyle w:val="ListParagraph"/>
        <w:numPr>
          <w:ilvl w:val="0"/>
          <w:numId w:val="1"/>
        </w:numPr>
        <w:spacing w:after="4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NASSCOM 10,000 Startups ranks #1 largely because its scale metrics</w:t>
      </w:r>
      <w:r w:rsidR="0025720C"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 xml:space="preserve"> exits, capital deployed, portfolio quality and active capacity together carry 51% of the weight</w:t>
      </w:r>
      <w:r w:rsidR="0025720C"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 xml:space="preserve"> are the largest of any program in the dataset. That is a legitimate strength for a startup wanting maximum reach and follow-on capital access, but the ranking is partly reflecting the size of the platform rather than the intensity of support any single startup receives.</w:t>
      </w:r>
    </w:p>
    <w:p w14:paraId="2185D7DC" w14:textId="4B2A0F4C" w:rsidR="0063226B" w:rsidRPr="00450BEA" w:rsidRDefault="003336D7">
      <w:pPr>
        <w:pStyle w:val="ListParagraph"/>
        <w:numPr>
          <w:ilvl w:val="0"/>
          <w:numId w:val="1"/>
        </w:numPr>
        <w:spacing w:after="4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University-affiliated centres (CIIE, SINE, NSRCEL, SIIC) rank highly despite Assumption 2 because their investor networks, corporate ties and exit records are institution-grade</w:t>
      </w:r>
      <w:r w:rsidR="0025720C" w:rsidRPr="00450BEA">
        <w:rPr>
          <w:rFonts w:ascii="Bahnschrift Light" w:eastAsia="Calibri" w:hAnsi="Bahnschrift Light" w:cs="Calibri"/>
          <w:color w:val="000000" w:themeColor="text1"/>
          <w:sz w:val="19"/>
          <w:szCs w:val="19"/>
        </w:rPr>
        <w:t>,</w:t>
      </w:r>
      <w:r w:rsidRPr="00450BEA">
        <w:rPr>
          <w:rFonts w:ascii="Bahnschrift Light" w:eastAsia="Calibri" w:hAnsi="Bahnschrift Light" w:cs="Calibri"/>
          <w:color w:val="000000" w:themeColor="text1"/>
          <w:sz w:val="19"/>
          <w:szCs w:val="19"/>
        </w:rPr>
        <w:t xml:space="preserve"> the model treats academic affiliation as a resource, not a disqualifier.</w:t>
      </w:r>
    </w:p>
    <w:p w14:paraId="2185D7DD" w14:textId="77777777" w:rsidR="0063226B" w:rsidRPr="00106139" w:rsidRDefault="003336D7">
      <w:pPr>
        <w:pStyle w:val="ListParagraph"/>
        <w:numPr>
          <w:ilvl w:val="0"/>
          <w:numId w:val="1"/>
        </w:numPr>
        <w:spacing w:after="40"/>
        <w:rPr>
          <w:rFonts w:ascii="Bahnschrift Light" w:hAnsi="Bahnschrift Light"/>
          <w:color w:val="000000" w:themeColor="text1"/>
        </w:rPr>
      </w:pPr>
      <w:r w:rsidRPr="00450BEA">
        <w:rPr>
          <w:rFonts w:ascii="Bahnschrift Light" w:eastAsia="Calibri" w:hAnsi="Bahnschrift Light" w:cs="Calibri"/>
          <w:color w:val="000000" w:themeColor="text1"/>
          <w:sz w:val="19"/>
          <w:szCs w:val="19"/>
        </w:rPr>
        <w:t>Similar caveats apply further down the list: an incubator with a long operating history but modest current capital deployed (e.g., STEP-IIT Roorkee, MITCON) will score lower overall even where its niche mentorship or sectoral depth is strong, because those factors are weighted at only 8% and 7% respectively.</w:t>
      </w:r>
    </w:p>
    <w:p w14:paraId="5B1B1F16" w14:textId="0E7B1B39" w:rsidR="00106139" w:rsidRDefault="00106139">
      <w:pPr>
        <w:pStyle w:val="ListParagraph"/>
        <w:numPr>
          <w:ilvl w:val="0"/>
          <w:numId w:val="1"/>
        </w:numPr>
        <w:spacing w:after="40"/>
        <w:rPr>
          <w:rFonts w:ascii="Bahnschrift Light" w:hAnsi="Bahnschrift Light"/>
          <w:color w:val="000000" w:themeColor="text1"/>
        </w:rPr>
      </w:pPr>
      <w:r w:rsidRPr="00106139">
        <w:rPr>
          <w:rFonts w:ascii="Bahnschrift Light" w:hAnsi="Bahnschrift Light"/>
          <w:color w:val="000000" w:themeColor="text1"/>
        </w:rPr>
        <w:t>IAN Incubator was excluded from the final ranking because its reported capital-deployment figure was not sufficiently comparable with the capital figures reported by conventional incubator programs; it was therefore retained in the underlying dataset for transparency but excluded from the final shortlist.</w:t>
      </w:r>
    </w:p>
    <w:p w14:paraId="2185D7DE" w14:textId="1EF77BF7" w:rsidR="0063226B" w:rsidRPr="00450BEA" w:rsidRDefault="0063226B">
      <w:pPr>
        <w:spacing w:before="40" w:after="80"/>
        <w:rPr>
          <w:rFonts w:ascii="Bahnschrift Light" w:hAnsi="Bahnschrift Light"/>
          <w:color w:val="000000" w:themeColor="text1"/>
        </w:rPr>
      </w:pPr>
    </w:p>
    <w:sectPr w:rsidR="0063226B" w:rsidRPr="00450BEA">
      <w:pgSz w:w="12240" w:h="15840"/>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96E78"/>
    <w:multiLevelType w:val="hybridMultilevel"/>
    <w:tmpl w:val="6ED42A72"/>
    <w:lvl w:ilvl="0" w:tplc="BF64ECAA">
      <w:start w:val="1"/>
      <w:numFmt w:val="bullet"/>
      <w:lvlText w:val="●"/>
      <w:lvlJc w:val="left"/>
      <w:pPr>
        <w:ind w:left="720" w:hanging="360"/>
      </w:pPr>
    </w:lvl>
    <w:lvl w:ilvl="1" w:tplc="E0908C22">
      <w:start w:val="1"/>
      <w:numFmt w:val="bullet"/>
      <w:lvlText w:val="○"/>
      <w:lvlJc w:val="left"/>
      <w:pPr>
        <w:ind w:left="1440" w:hanging="360"/>
      </w:pPr>
    </w:lvl>
    <w:lvl w:ilvl="2" w:tplc="6D500E1E">
      <w:start w:val="1"/>
      <w:numFmt w:val="bullet"/>
      <w:lvlText w:val="■"/>
      <w:lvlJc w:val="left"/>
      <w:pPr>
        <w:ind w:left="2160" w:hanging="360"/>
      </w:pPr>
    </w:lvl>
    <w:lvl w:ilvl="3" w:tplc="CFB277F0">
      <w:start w:val="1"/>
      <w:numFmt w:val="bullet"/>
      <w:lvlText w:val="●"/>
      <w:lvlJc w:val="left"/>
      <w:pPr>
        <w:ind w:left="2880" w:hanging="360"/>
      </w:pPr>
    </w:lvl>
    <w:lvl w:ilvl="4" w:tplc="A80E8C98">
      <w:start w:val="1"/>
      <w:numFmt w:val="bullet"/>
      <w:lvlText w:val="○"/>
      <w:lvlJc w:val="left"/>
      <w:pPr>
        <w:ind w:left="3600" w:hanging="360"/>
      </w:pPr>
    </w:lvl>
    <w:lvl w:ilvl="5" w:tplc="3FF03898">
      <w:start w:val="1"/>
      <w:numFmt w:val="bullet"/>
      <w:lvlText w:val="■"/>
      <w:lvlJc w:val="left"/>
      <w:pPr>
        <w:ind w:left="4320" w:hanging="360"/>
      </w:pPr>
    </w:lvl>
    <w:lvl w:ilvl="6" w:tplc="A29E243C">
      <w:start w:val="1"/>
      <w:numFmt w:val="bullet"/>
      <w:lvlText w:val="●"/>
      <w:lvlJc w:val="left"/>
      <w:pPr>
        <w:ind w:left="5040" w:hanging="360"/>
      </w:pPr>
    </w:lvl>
    <w:lvl w:ilvl="7" w:tplc="5F3AAD44">
      <w:start w:val="1"/>
      <w:numFmt w:val="bullet"/>
      <w:lvlText w:val="●"/>
      <w:lvlJc w:val="left"/>
      <w:pPr>
        <w:ind w:left="5760" w:hanging="360"/>
      </w:pPr>
    </w:lvl>
    <w:lvl w:ilvl="8" w:tplc="8EEEDEE6">
      <w:start w:val="1"/>
      <w:numFmt w:val="bullet"/>
      <w:lvlText w:val="●"/>
      <w:lvlJc w:val="left"/>
      <w:pPr>
        <w:ind w:left="6480" w:hanging="360"/>
      </w:pPr>
    </w:lvl>
  </w:abstractNum>
  <w:num w:numId="1" w16cid:durableId="1462185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226B"/>
    <w:rsid w:val="00106139"/>
    <w:rsid w:val="0025720C"/>
    <w:rsid w:val="002A52D1"/>
    <w:rsid w:val="003336D7"/>
    <w:rsid w:val="003E0EEB"/>
    <w:rsid w:val="00450BEA"/>
    <w:rsid w:val="0054073D"/>
    <w:rsid w:val="00595F68"/>
    <w:rsid w:val="005F4B99"/>
    <w:rsid w:val="0063226B"/>
    <w:rsid w:val="00820F59"/>
    <w:rsid w:val="008778C1"/>
    <w:rsid w:val="009F3A37"/>
    <w:rsid w:val="00B534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5D719"/>
  <w15:docId w15:val="{7512205F-0C0A-4E41-A8EC-C1A091B6F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1069</Words>
  <Characters>6097</Characters>
  <Application>Microsoft Office Word</Application>
  <DocSecurity>0</DocSecurity>
  <Lines>50</Lines>
  <Paragraphs>14</Paragraphs>
  <ScaleCrop>false</ScaleCrop>
  <Company/>
  <LinksUpToDate>false</LinksUpToDate>
  <CharactersWithSpaces>7152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kushagra pant</cp:lastModifiedBy>
  <cp:revision>11</cp:revision>
  <dcterms:created xsi:type="dcterms:W3CDTF">2026-09-25T20:14:00Z</dcterms:created>
  <dcterms:modified xsi:type="dcterms:W3CDTF">2026-09-26T16:20:00Z</dcterms:modified>
</cp:coreProperties>
</file>