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BLACK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BLACK"/>
              <w:bottom w:val="single" w:sz="16" w:space="0" w:color="BLACK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Opioid subgroup comparison</w:t>
            </w:r>
          </w:p>
        </w:tc>
        <w:tc>
          <w:tcPr>
            <w:tcBorders>
              <w:top w:val="single" w:sz="16" w:space="0" w:color="BLACK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BLACK"/>
              <w:bottom w:val="single" w:sz="16" w:space="0" w:color="BLACK"/>
              <w:end w:val="single" w:space="0" w:color="D3D3D3"/>
            </w:tcBorders>
            <w:gridSpan w:val="1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Reference group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BLACK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Characteristic</w:t>
            </w:r>
          </w:p>
        </w:tc>
        <w:tc>
          <w:tcPr>
            <w:tcBorders>
              <w:bottom w:val="single" w:sz="16" w:space="0" w:color="BLACK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Hydrocodone group (n=25)</w:t>
            </w:r>
          </w:p>
        </w:tc>
        <w:tc>
          <w:tcPr>
            <w:tcBorders>
              <w:bottom w:val="single" w:sz="16" w:space="0" w:color="BLACK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Tramadol group (n=23)</w:t>
            </w:r>
          </w:p>
        </w:tc>
        <w:tc>
          <w:tcPr>
            <w:tcBorders>
              <w:bottom w:val="single" w:sz="16" w:space="0" w:color="BLACK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BLACK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CBP-O (n=70)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Demographic and general health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 (years)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60.28 ± 9.01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60.13 ± 12.81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59.87 ± 11.98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Sex/female (%)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(52.00%)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(86.96%)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 (58.57%)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Alcohol (%)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(52.00%)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(43.48%)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0.763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(65.71%)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Smoking (%)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(20.00%)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(17.39%)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(18.57%)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White (%)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(60.00%)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(69.57%)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0.696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 (58.57%)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Black (%)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(40.00%)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(30.43%)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0.696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(21.43%)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Other/Undisclosed (%)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(0.00%)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(0.00%)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(20.00%)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BMI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32.77 ± 6.30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32.07 ± 8.62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0.785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30.12 ± 5.22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MQS total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24.34 ± 13.59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23.52 ± 10.84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0.818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10.33 ± 7.56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MQS non-opioid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17.67 ± 13.85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23.22 ± 10.77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0.127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10.33 ± 7.56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Concomitant medication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Antidepressants — any (%)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(32.00%)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(39.13%)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(17.14%)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SSRI/SNRI (%)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(4.00%)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(13.04%)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0.338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(7.14%)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Tricyclic/tetracyclic (%)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(4.00%)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(13.04%)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0.338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(2.86%)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Benzodiazepines (%)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(28.00%)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(8.70%)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0.140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(7.14%)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Anticonvulsants (%)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(60.00%)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(43.48%)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0.392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(12.86%)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NSAIDs (%)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(40.00%)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(52.17%)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0.578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 (75.71%)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Muscle relaxants (%)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(48.00%)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(21.74%)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0.110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(8.57%)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Pain characteristics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Pain intensity (NRS)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5.76 ± 2.18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5.22 ± 2.19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0.396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5.34 ± 2.13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Pain duration (years)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15.84 ± 9.96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19.70 ± 13.97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0.281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16.64 ± 19.16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Principal components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PC1 — Functional disability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0.46 ± 0.76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0.22 ± 0.87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0.308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-0.37 ± 1.03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PC2 — Pain quality/severity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0.32 ± 0.91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-0.10 ± 1.03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0.150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-0.20 ± 0.98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PC3 — Negative affect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0.33 ± 1.15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 ± 1.21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0.410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-0.04 ± 0.90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Opioid consumption and behavior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MME (mg/day)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25.06 ± 17.73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14.47 ± 6.64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ROE (mg/L)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0.0041 ± 0.0070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0.0001 ± 0.0001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 of opioid use (years, DOU)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8.08 ± 7.66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7.26 ± 4.63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0.654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SOWS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11.52 ± 10.82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7.00 ± 5.25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COMM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7.68 ± 6.16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7.61 ± 6.42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0.969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p-values compare Hydrocodone group vs Tramadol group only. The CBP-O column is a descriptive reference group and is not included in the test.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2026-08-14T16:33:27Z</dcterms:created>
  <dcterms:modified xsi:type="dcterms:W3CDTF">2026-08-14T16:33:27Z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