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A62AE" w14:textId="64FFBD1C" w:rsidR="0081044F" w:rsidRDefault="00421CEF" w:rsidP="00CC286C">
      <w:pPr>
        <w:jc w:val="center"/>
      </w:pPr>
      <w:r>
        <w:rPr>
          <w:noProof/>
        </w:rPr>
        <w:drawing>
          <wp:inline distT="0" distB="0" distL="0" distR="0" wp14:anchorId="4206B4DC" wp14:editId="58204932">
            <wp:extent cx="5609230" cy="4046916"/>
            <wp:effectExtent l="0" t="0" r="0" b="0"/>
            <wp:docPr id="19057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96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269" cy="405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6B5F" w14:textId="304071BA" w:rsidR="00B6736F" w:rsidRPr="00C42672" w:rsidRDefault="007F4BFC" w:rsidP="002E2F5A">
      <w:pPr>
        <w:jc w:val="both"/>
      </w:pPr>
      <w:bookmarkStart w:id="0" w:name="_Hlk131955285"/>
      <w:r w:rsidRPr="00CC286C">
        <w:rPr>
          <w:rFonts w:ascii="Arial" w:hAnsi="Arial" w:cs="Arial"/>
          <w:b/>
          <w:bCs/>
          <w:sz w:val="20"/>
          <w:szCs w:val="20"/>
        </w:rPr>
        <w:t xml:space="preserve">Figure 1. Long-term </w:t>
      </w:r>
      <w:r w:rsidR="00AE7625">
        <w:rPr>
          <w:rFonts w:ascii="Arial" w:hAnsi="Arial" w:cs="Arial"/>
          <w:b/>
          <w:bCs/>
          <w:sz w:val="20"/>
          <w:szCs w:val="20"/>
        </w:rPr>
        <w:t xml:space="preserve">daily </w:t>
      </w:r>
      <w:r w:rsidRPr="00CC286C">
        <w:rPr>
          <w:rFonts w:ascii="Arial" w:hAnsi="Arial" w:cs="Arial"/>
          <w:b/>
          <w:bCs/>
          <w:sz w:val="20"/>
          <w:szCs w:val="20"/>
        </w:rPr>
        <w:t>opioid use is associated with worse functional disabilities and worse pain quality. a.</w:t>
      </w:r>
      <w:r w:rsidRPr="00CC286C">
        <w:rPr>
          <w:rFonts w:ascii="Arial" w:hAnsi="Arial" w:cs="Arial"/>
          <w:sz w:val="20"/>
          <w:szCs w:val="20"/>
        </w:rPr>
        <w:t xml:space="preserve"> Left plot shows standardized clinical parameter differences (± 95% CI) between CBP+O and CBP-O (higher scores corresponding to worse outcomes are shown in red, while lower scores corresponding to worse outcomes are blue). CBP+O showed significantly worse outcomes across most measures. Right three columns: These clinical parameters loaded on three principal components (PC1-3) that explained 69.9% of the variance.  Bars represent factor loadings of each measure. Identified PC-s were uniquely associated with functional disability (PC1), pain quality (PC2), and negative affect (PC3). </w:t>
      </w:r>
      <w:r w:rsidRPr="00CC286C">
        <w:rPr>
          <w:rFonts w:ascii="Arial" w:hAnsi="Arial" w:cs="Arial"/>
          <w:b/>
          <w:bCs/>
          <w:sz w:val="20"/>
          <w:szCs w:val="20"/>
        </w:rPr>
        <w:t xml:space="preserve">b. </w:t>
      </w:r>
      <w:r w:rsidRPr="00CC286C">
        <w:rPr>
          <w:rFonts w:ascii="Arial" w:hAnsi="Arial" w:cs="Arial"/>
          <w:sz w:val="20"/>
          <w:szCs w:val="20"/>
        </w:rPr>
        <w:t xml:space="preserve">Compared to CBP-O, CBP+O exhibited worse functional disability (PC1) and worse pain quality (PC2). </w:t>
      </w:r>
      <w:r w:rsidRPr="00CC286C">
        <w:rPr>
          <w:rFonts w:ascii="Arial" w:hAnsi="Arial" w:cs="Arial"/>
          <w:b/>
          <w:bCs/>
          <w:sz w:val="20"/>
          <w:szCs w:val="20"/>
        </w:rPr>
        <w:t>c.</w:t>
      </w:r>
      <w:r w:rsidRPr="00CC286C">
        <w:rPr>
          <w:rFonts w:ascii="Arial" w:hAnsi="Arial" w:cs="Arial"/>
          <w:sz w:val="20"/>
          <w:szCs w:val="20"/>
        </w:rPr>
        <w:t xml:space="preserve"> Distribution of prescription opioid consumption (MME), blood opioid levels (ROE in mg/L), and duration of opioid use (DOU in years) in CBP+O. CBP+O showed a varied and wide range of opioid use, with 31 patients within the no-risk range (MME &lt; 20), 21 patients minimal risk (MME 20-50), 7 patients moderate risk (MME 50-90), and 5 patients high-risk range (MME &gt; 90). All three outcomes (MME, ROE, DOU) were right-skewed. Therefore, they were log-transformed to conform to normal distributions. </w:t>
      </w:r>
      <w:r w:rsidRPr="00CC286C">
        <w:rPr>
          <w:rFonts w:ascii="Arial" w:hAnsi="Arial" w:cs="Arial"/>
          <w:b/>
          <w:bCs/>
          <w:sz w:val="20"/>
          <w:szCs w:val="20"/>
        </w:rPr>
        <w:t>d.</w:t>
      </w:r>
      <w:r w:rsidRPr="00CC286C">
        <w:rPr>
          <w:rFonts w:ascii="Arial" w:hAnsi="Arial" w:cs="Arial"/>
          <w:sz w:val="20"/>
          <w:szCs w:val="20"/>
        </w:rPr>
        <w:t xml:space="preserve"> The heat map shows the relationship of opioid measures (log) with each other, and with consumption of non-opioid medications (MQS). </w:t>
      </w:r>
      <w:r w:rsidRPr="00CC286C">
        <w:rPr>
          <w:rFonts w:ascii="Arial" w:hAnsi="Arial" w:cs="Arial"/>
          <w:b/>
          <w:bCs/>
          <w:sz w:val="20"/>
          <w:szCs w:val="20"/>
        </w:rPr>
        <w:t>e.</w:t>
      </w:r>
      <w:r w:rsidRPr="00CC286C">
        <w:rPr>
          <w:rFonts w:ascii="Arial" w:hAnsi="Arial" w:cs="Arial"/>
          <w:sz w:val="20"/>
          <w:szCs w:val="20"/>
        </w:rPr>
        <w:t xml:space="preserve"> MME and ROE showed a significant relationship (scatter plot). </w:t>
      </w:r>
      <w:r w:rsidRPr="00CC286C">
        <w:rPr>
          <w:rFonts w:ascii="Arial" w:hAnsi="Arial" w:cs="Arial"/>
          <w:b/>
          <w:bCs/>
          <w:sz w:val="20"/>
          <w:szCs w:val="20"/>
        </w:rPr>
        <w:t xml:space="preserve">f. </w:t>
      </w:r>
      <w:r w:rsidRPr="00CC286C">
        <w:rPr>
          <w:rFonts w:ascii="Arial" w:hAnsi="Arial" w:cs="Arial"/>
          <w:sz w:val="20"/>
          <w:szCs w:val="20"/>
        </w:rPr>
        <w:t>The plot shows standardized regression estimates (± 95% CI) for the relationship between opioid measures (log) with signs of misuse (COMM) and withdrawal (SOWS) scales, pain intensity, and the three principal components (PC1-3) across all 70 CBP+O. Only opioid blood levels (ROE) showed a significant relationship with PC1-functional disability; higher blood opioids were associated with worse functional disability.</w:t>
      </w:r>
      <w:r w:rsidRPr="00CC286C">
        <w:rPr>
          <w:rFonts w:ascii="Arial" w:hAnsi="Arial" w:cs="Arial"/>
          <w:b/>
          <w:bCs/>
          <w:sz w:val="20"/>
          <w:szCs w:val="20"/>
        </w:rPr>
        <w:t xml:space="preserve"> </w:t>
      </w:r>
      <w:r w:rsidRPr="00CC286C">
        <w:rPr>
          <w:rFonts w:ascii="Arial" w:hAnsi="Arial" w:cs="Arial"/>
          <w:sz w:val="20"/>
          <w:szCs w:val="20"/>
        </w:rPr>
        <w:t>PainDETECT = presence of neuropathic pain; MPQ = McGill Pain Questionnaire, subscales are indicated; PCS = Pain Catastrophizing Scale; ODI = Oswestry low back Disability Index; PROMIS =</w:t>
      </w:r>
      <w:r w:rsidRPr="00CC286C">
        <w:rPr>
          <w:rFonts w:ascii="Arial" w:hAnsi="Arial" w:cs="Arial"/>
          <w:b/>
          <w:bCs/>
          <w:sz w:val="20"/>
          <w:szCs w:val="20"/>
        </w:rPr>
        <w:t xml:space="preserve"> </w:t>
      </w:r>
      <w:r w:rsidRPr="00CC286C">
        <w:rPr>
          <w:rFonts w:ascii="Arial" w:hAnsi="Arial" w:cs="Arial"/>
          <w:sz w:val="20"/>
          <w:szCs w:val="20"/>
        </w:rPr>
        <w:t>Patient-Reported Outcomes Measurement Information System, subscales are labeled, pain int. = pain interference; SF12 = Short Form quality of life scale; BDI = Becks Depression Inventory; PANAS = Positive and Negative Affect Schedule</w:t>
      </w:r>
      <w:bookmarkEnd w:id="0"/>
      <w:r w:rsidR="00D7178E">
        <w:rPr>
          <w:rFonts w:ascii="Arial" w:hAnsi="Arial" w:cs="Arial"/>
          <w:sz w:val="20"/>
          <w:szCs w:val="20"/>
        </w:rPr>
        <w:t>.</w:t>
      </w:r>
    </w:p>
    <w:sectPr w:rsidR="00B6736F" w:rsidRPr="00C42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A649C"/>
    <w:multiLevelType w:val="hybridMultilevel"/>
    <w:tmpl w:val="D54C50D0"/>
    <w:lvl w:ilvl="0" w:tplc="30CED8F6">
      <w:start w:val="1"/>
      <w:numFmt w:val="lowerLetter"/>
      <w:lvlText w:val="(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23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EF"/>
    <w:rsid w:val="00023532"/>
    <w:rsid w:val="000400BB"/>
    <w:rsid w:val="00041285"/>
    <w:rsid w:val="00041396"/>
    <w:rsid w:val="00041B55"/>
    <w:rsid w:val="0004363A"/>
    <w:rsid w:val="000532DE"/>
    <w:rsid w:val="00060CBF"/>
    <w:rsid w:val="00063E58"/>
    <w:rsid w:val="000A0746"/>
    <w:rsid w:val="000A6605"/>
    <w:rsid w:val="000C0F10"/>
    <w:rsid w:val="000E4AC3"/>
    <w:rsid w:val="00173897"/>
    <w:rsid w:val="00180F47"/>
    <w:rsid w:val="00181ABC"/>
    <w:rsid w:val="001A413F"/>
    <w:rsid w:val="001A4C3E"/>
    <w:rsid w:val="001B1C03"/>
    <w:rsid w:val="001B2C81"/>
    <w:rsid w:val="001D6625"/>
    <w:rsid w:val="001E6209"/>
    <w:rsid w:val="00202626"/>
    <w:rsid w:val="00254B80"/>
    <w:rsid w:val="00281601"/>
    <w:rsid w:val="002939BF"/>
    <w:rsid w:val="002B17E3"/>
    <w:rsid w:val="002D2BC4"/>
    <w:rsid w:val="002E2F5A"/>
    <w:rsid w:val="002F4C1B"/>
    <w:rsid w:val="00301C9A"/>
    <w:rsid w:val="00317B9C"/>
    <w:rsid w:val="00333A35"/>
    <w:rsid w:val="00336CC1"/>
    <w:rsid w:val="00352231"/>
    <w:rsid w:val="003773DA"/>
    <w:rsid w:val="0038529A"/>
    <w:rsid w:val="004047EE"/>
    <w:rsid w:val="00417A0A"/>
    <w:rsid w:val="00421CEF"/>
    <w:rsid w:val="00423903"/>
    <w:rsid w:val="00461A74"/>
    <w:rsid w:val="004653CE"/>
    <w:rsid w:val="00494A7B"/>
    <w:rsid w:val="00496645"/>
    <w:rsid w:val="00497EDE"/>
    <w:rsid w:val="004C3E7A"/>
    <w:rsid w:val="004E1ACF"/>
    <w:rsid w:val="004F53BC"/>
    <w:rsid w:val="004F61AF"/>
    <w:rsid w:val="00503CC0"/>
    <w:rsid w:val="0050544A"/>
    <w:rsid w:val="005D1471"/>
    <w:rsid w:val="005D222B"/>
    <w:rsid w:val="006024C9"/>
    <w:rsid w:val="0061018B"/>
    <w:rsid w:val="00611FD7"/>
    <w:rsid w:val="00622D89"/>
    <w:rsid w:val="00631CE1"/>
    <w:rsid w:val="00660694"/>
    <w:rsid w:val="00666A88"/>
    <w:rsid w:val="00671DB2"/>
    <w:rsid w:val="006A0484"/>
    <w:rsid w:val="006A6E7E"/>
    <w:rsid w:val="006C4810"/>
    <w:rsid w:val="006C6B1C"/>
    <w:rsid w:val="006D3C10"/>
    <w:rsid w:val="006D73DF"/>
    <w:rsid w:val="006E75F8"/>
    <w:rsid w:val="006F43BD"/>
    <w:rsid w:val="006F58BE"/>
    <w:rsid w:val="0075253B"/>
    <w:rsid w:val="00756FE1"/>
    <w:rsid w:val="00766E0B"/>
    <w:rsid w:val="00787FD1"/>
    <w:rsid w:val="007A7B5F"/>
    <w:rsid w:val="007B4350"/>
    <w:rsid w:val="007B495C"/>
    <w:rsid w:val="007D27A8"/>
    <w:rsid w:val="007F4BFC"/>
    <w:rsid w:val="0081044F"/>
    <w:rsid w:val="00821E7A"/>
    <w:rsid w:val="00843038"/>
    <w:rsid w:val="00855842"/>
    <w:rsid w:val="00861924"/>
    <w:rsid w:val="00862EEA"/>
    <w:rsid w:val="0086449F"/>
    <w:rsid w:val="008A2CC0"/>
    <w:rsid w:val="008A4BE8"/>
    <w:rsid w:val="008B124A"/>
    <w:rsid w:val="008D6C7C"/>
    <w:rsid w:val="008E2E5F"/>
    <w:rsid w:val="008E56E0"/>
    <w:rsid w:val="008E62D2"/>
    <w:rsid w:val="00912101"/>
    <w:rsid w:val="00925596"/>
    <w:rsid w:val="00943329"/>
    <w:rsid w:val="00955ADC"/>
    <w:rsid w:val="00955D1A"/>
    <w:rsid w:val="00956335"/>
    <w:rsid w:val="0096190E"/>
    <w:rsid w:val="0096293D"/>
    <w:rsid w:val="00975833"/>
    <w:rsid w:val="00983823"/>
    <w:rsid w:val="009A07A2"/>
    <w:rsid w:val="009B2840"/>
    <w:rsid w:val="009E4BD0"/>
    <w:rsid w:val="009F1795"/>
    <w:rsid w:val="009F4B37"/>
    <w:rsid w:val="00A0608D"/>
    <w:rsid w:val="00A35D07"/>
    <w:rsid w:val="00A4764A"/>
    <w:rsid w:val="00A513BE"/>
    <w:rsid w:val="00A762E7"/>
    <w:rsid w:val="00A92D20"/>
    <w:rsid w:val="00AA16EA"/>
    <w:rsid w:val="00AA56D8"/>
    <w:rsid w:val="00AB089F"/>
    <w:rsid w:val="00AB17FE"/>
    <w:rsid w:val="00AC02B5"/>
    <w:rsid w:val="00AE32C9"/>
    <w:rsid w:val="00AE7494"/>
    <w:rsid w:val="00AE7625"/>
    <w:rsid w:val="00B21F7C"/>
    <w:rsid w:val="00B51780"/>
    <w:rsid w:val="00B644AF"/>
    <w:rsid w:val="00B6736F"/>
    <w:rsid w:val="00B925C1"/>
    <w:rsid w:val="00B967B2"/>
    <w:rsid w:val="00BC1C9C"/>
    <w:rsid w:val="00C0203D"/>
    <w:rsid w:val="00C168CE"/>
    <w:rsid w:val="00C17F4F"/>
    <w:rsid w:val="00C30D14"/>
    <w:rsid w:val="00C34813"/>
    <w:rsid w:val="00C42672"/>
    <w:rsid w:val="00C4456C"/>
    <w:rsid w:val="00C4722B"/>
    <w:rsid w:val="00CA10B1"/>
    <w:rsid w:val="00CA3BA2"/>
    <w:rsid w:val="00CB1519"/>
    <w:rsid w:val="00CC286C"/>
    <w:rsid w:val="00D17756"/>
    <w:rsid w:val="00D7178E"/>
    <w:rsid w:val="00DE57F4"/>
    <w:rsid w:val="00DF448B"/>
    <w:rsid w:val="00E45A95"/>
    <w:rsid w:val="00E505A2"/>
    <w:rsid w:val="00E74830"/>
    <w:rsid w:val="00E91095"/>
    <w:rsid w:val="00EA26DD"/>
    <w:rsid w:val="00ED3FA2"/>
    <w:rsid w:val="00ED47A4"/>
    <w:rsid w:val="00EF44E2"/>
    <w:rsid w:val="00F0533D"/>
    <w:rsid w:val="00F10FDA"/>
    <w:rsid w:val="00F23D44"/>
    <w:rsid w:val="00F5334E"/>
    <w:rsid w:val="00F65B1E"/>
    <w:rsid w:val="00F77658"/>
    <w:rsid w:val="00F87FC5"/>
    <w:rsid w:val="00F9040C"/>
    <w:rsid w:val="00F97F43"/>
    <w:rsid w:val="00FA638F"/>
    <w:rsid w:val="00FC5ABA"/>
    <w:rsid w:val="00FE0703"/>
    <w:rsid w:val="00FE2356"/>
    <w:rsid w:val="00FF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5CA4"/>
  <w15:chartTrackingRefBased/>
  <w15:docId w15:val="{351AD7A1-6D1F-47C4-84F8-62E566D3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CE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101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345</Words>
  <Characters>1993</Characters>
  <Application>Microsoft Office Word</Application>
  <DocSecurity>0</DocSecurity>
  <Lines>24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N Baliki</dc:creator>
  <cp:keywords/>
  <dc:description/>
  <cp:lastModifiedBy>Apkar Apkarian</cp:lastModifiedBy>
  <cp:revision>4</cp:revision>
  <cp:lastPrinted>2026-03-16T21:14:00Z</cp:lastPrinted>
  <dcterms:created xsi:type="dcterms:W3CDTF">2026-03-16T21:14:00Z</dcterms:created>
  <dcterms:modified xsi:type="dcterms:W3CDTF">2026-03-31T21:12:00Z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797bef6436b77c00f9b310636e16da00dd161a65cb079cc46dc2aadf09c6085a</vt:lpwstr>
  </property>
</Properties>
</file>