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3A104" w14:textId="77777777" w:rsidR="00D8694D" w:rsidRDefault="00D8694D" w:rsidP="00D8694D">
      <w:pPr>
        <w:jc w:val="center"/>
      </w:pPr>
      <w:r>
        <w:rPr>
          <w:noProof/>
        </w:rPr>
        <w:drawing>
          <wp:inline distT="0" distB="0" distL="0" distR="0" wp14:anchorId="0CE54B65" wp14:editId="538A0C53">
            <wp:extent cx="4293330" cy="5542627"/>
            <wp:effectExtent l="0" t="0" r="0" b="1270"/>
            <wp:docPr id="1584431408" name="Picture 4" descr="A diagram of brain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31408" name="Picture 4" descr="A diagram of brain function&#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37558" cy="5599725"/>
                    </a:xfrm>
                    <a:prstGeom prst="rect">
                      <a:avLst/>
                    </a:prstGeom>
                  </pic:spPr>
                </pic:pic>
              </a:graphicData>
            </a:graphic>
          </wp:inline>
        </w:drawing>
      </w:r>
    </w:p>
    <w:p w14:paraId="1C6E762B" w14:textId="34155066" w:rsidR="00DA786D" w:rsidRPr="00D8694D" w:rsidRDefault="00D8694D" w:rsidP="00D8694D">
      <w:pPr>
        <w:spacing w:after="0" w:line="240" w:lineRule="auto"/>
        <w:contextualSpacing/>
        <w:jc w:val="both"/>
        <w:rPr>
          <w:rFonts w:ascii="Arial" w:hAnsi="Arial" w:cs="Arial"/>
          <w:sz w:val="20"/>
          <w:szCs w:val="20"/>
        </w:rPr>
      </w:pPr>
      <w:r w:rsidRPr="00CC286C">
        <w:rPr>
          <w:rFonts w:ascii="Arial" w:hAnsi="Arial" w:cs="Arial"/>
          <w:b/>
          <w:bCs/>
          <w:sz w:val="20"/>
          <w:szCs w:val="20"/>
        </w:rPr>
        <w:t xml:space="preserve">Figure 3. Mapping </w:t>
      </w:r>
      <w:r>
        <w:rPr>
          <w:rFonts w:ascii="Arial" w:hAnsi="Arial" w:cs="Arial"/>
          <w:b/>
          <w:bCs/>
          <w:sz w:val="20"/>
          <w:szCs w:val="20"/>
        </w:rPr>
        <w:t>changes</w:t>
      </w:r>
      <w:r w:rsidRPr="00CC286C">
        <w:rPr>
          <w:rFonts w:ascii="Arial" w:hAnsi="Arial" w:cs="Arial"/>
          <w:b/>
          <w:bCs/>
          <w:sz w:val="20"/>
          <w:szCs w:val="20"/>
        </w:rPr>
        <w:t xml:space="preserve"> in spontaneous activity to receptor density distributions identifies a multi-molecular signature of receptor-related activity </w:t>
      </w:r>
      <w:r>
        <w:rPr>
          <w:rFonts w:ascii="Arial" w:hAnsi="Arial" w:cs="Arial"/>
          <w:b/>
          <w:bCs/>
          <w:sz w:val="20"/>
          <w:szCs w:val="20"/>
        </w:rPr>
        <w:t>in</w:t>
      </w:r>
      <w:r w:rsidRPr="00CC286C">
        <w:rPr>
          <w:rFonts w:ascii="Arial" w:hAnsi="Arial" w:cs="Arial"/>
          <w:b/>
          <w:bCs/>
          <w:sz w:val="20"/>
          <w:szCs w:val="20"/>
        </w:rPr>
        <w:t xml:space="preserve"> long</w:t>
      </w:r>
      <w:r>
        <w:rPr>
          <w:rFonts w:ascii="Arial" w:hAnsi="Arial" w:cs="Arial"/>
          <w:b/>
          <w:bCs/>
          <w:sz w:val="20"/>
          <w:szCs w:val="20"/>
        </w:rPr>
        <w:t>-</w:t>
      </w:r>
      <w:r w:rsidRPr="00CC286C">
        <w:rPr>
          <w:rFonts w:ascii="Arial" w:hAnsi="Arial" w:cs="Arial"/>
          <w:b/>
          <w:bCs/>
          <w:sz w:val="20"/>
          <w:szCs w:val="20"/>
        </w:rPr>
        <w:t>term opioid use. a</w:t>
      </w:r>
      <w:r w:rsidRPr="00CC286C">
        <w:rPr>
          <w:rFonts w:ascii="Arial" w:hAnsi="Arial" w:cs="Arial"/>
          <w:sz w:val="20"/>
          <w:szCs w:val="20"/>
        </w:rPr>
        <w:t xml:space="preserve">. </w:t>
      </w:r>
      <w:r>
        <w:rPr>
          <w:rFonts w:ascii="Arial" w:hAnsi="Arial" w:cs="Arial"/>
          <w:sz w:val="20"/>
          <w:szCs w:val="20"/>
        </w:rPr>
        <w:t>The f</w:t>
      </w:r>
      <w:r w:rsidRPr="00CC286C">
        <w:rPr>
          <w:rFonts w:ascii="Arial" w:hAnsi="Arial" w:cs="Arial"/>
          <w:sz w:val="20"/>
          <w:szCs w:val="20"/>
        </w:rPr>
        <w:t>lowchart depicts the method used to project the whole-brain un-thresholded activity contrast map (</w:t>
      </w:r>
      <w:r w:rsidRPr="00CC286C">
        <w:rPr>
          <w:rFonts w:ascii="Arial" w:hAnsi="Arial" w:cs="Arial"/>
          <w:kern w:val="0"/>
          <w:sz w:val="20"/>
          <w:szCs w:val="20"/>
          <w14:ligatures w14:val="none"/>
        </w:rPr>
        <w:sym w:font="Symbol" w:char="F044"/>
      </w:r>
      <w:r w:rsidRPr="00CC286C">
        <w:rPr>
          <w:rFonts w:ascii="Arial" w:hAnsi="Arial" w:cs="Arial"/>
          <w:sz w:val="20"/>
          <w:szCs w:val="20"/>
        </w:rPr>
        <w:t xml:space="preserve">ALFF [CBP+O &gt; CBP-O]) into </w:t>
      </w:r>
      <w:r>
        <w:rPr>
          <w:rFonts w:ascii="Arial" w:hAnsi="Arial" w:cs="Arial"/>
          <w:sz w:val="20"/>
          <w:szCs w:val="20"/>
        </w:rPr>
        <w:t>a macro-scale (</w:t>
      </w:r>
      <w:r w:rsidRPr="00CC286C">
        <w:rPr>
          <w:rFonts w:ascii="Arial" w:hAnsi="Arial" w:cs="Arial"/>
          <w:sz w:val="20"/>
          <w:szCs w:val="20"/>
        </w:rPr>
        <w:t>100 cortical ROIs</w:t>
      </w:r>
      <w:r>
        <w:rPr>
          <w:rFonts w:ascii="Arial" w:hAnsi="Arial" w:cs="Arial"/>
          <w:sz w:val="20"/>
          <w:szCs w:val="20"/>
        </w:rPr>
        <w:t>) pattern,</w:t>
      </w:r>
      <w:r w:rsidRPr="00CC286C">
        <w:rPr>
          <w:rFonts w:ascii="Arial" w:hAnsi="Arial" w:cs="Arial"/>
          <w:sz w:val="20"/>
          <w:szCs w:val="20"/>
        </w:rPr>
        <w:t xml:space="preserve"> submitt</w:t>
      </w:r>
      <w:r>
        <w:rPr>
          <w:rFonts w:ascii="Arial" w:hAnsi="Arial" w:cs="Arial"/>
          <w:sz w:val="20"/>
          <w:szCs w:val="20"/>
        </w:rPr>
        <w:t>ed</w:t>
      </w:r>
      <w:r w:rsidRPr="00CC286C">
        <w:rPr>
          <w:rFonts w:ascii="Arial" w:hAnsi="Arial" w:cs="Arial"/>
          <w:sz w:val="20"/>
          <w:szCs w:val="20"/>
        </w:rPr>
        <w:t xml:space="preserve"> to a multiple regression analysis with the 19 receptor density maps in the same ROI space. </w:t>
      </w:r>
      <w:r w:rsidRPr="00CC286C">
        <w:rPr>
          <w:rFonts w:ascii="Arial" w:hAnsi="Arial" w:cs="Arial"/>
          <w:b/>
          <w:bCs/>
          <w:sz w:val="20"/>
          <w:szCs w:val="20"/>
        </w:rPr>
        <w:t>b.</w:t>
      </w:r>
      <w:r w:rsidRPr="00CC286C">
        <w:rPr>
          <w:rFonts w:ascii="Arial" w:hAnsi="Arial" w:cs="Arial"/>
          <w:sz w:val="20"/>
          <w:szCs w:val="20"/>
        </w:rPr>
        <w:t xml:space="preserve"> Using multiple regression analysis, the plot shows the standardized estimates (± 95% CI) for </w:t>
      </w:r>
      <w:r w:rsidRPr="00CC286C">
        <w:rPr>
          <w:rFonts w:ascii="Arial" w:hAnsi="Arial" w:cs="Arial"/>
          <w:kern w:val="0"/>
          <w:sz w:val="20"/>
          <w:szCs w:val="20"/>
          <w14:ligatures w14:val="none"/>
        </w:rPr>
        <w:sym w:font="Symbol" w:char="F044"/>
      </w:r>
      <w:r w:rsidRPr="00CC286C">
        <w:rPr>
          <w:rFonts w:ascii="Arial" w:hAnsi="Arial" w:cs="Arial"/>
          <w:sz w:val="20"/>
          <w:szCs w:val="20"/>
        </w:rPr>
        <w:t xml:space="preserve">ALFF [CBP+O &gt; CBP-O] with receptor densities. The mapping accounted for 38% of the variance of </w:t>
      </w:r>
      <w:r w:rsidRPr="00CC286C">
        <w:rPr>
          <w:rFonts w:ascii="Arial" w:hAnsi="Arial" w:cs="Arial"/>
          <w:kern w:val="0"/>
          <w:sz w:val="20"/>
          <w:szCs w:val="20"/>
          <w14:ligatures w14:val="none"/>
        </w:rPr>
        <w:sym w:font="Symbol" w:char="F044"/>
      </w:r>
      <w:r w:rsidRPr="00CC286C">
        <w:rPr>
          <w:rFonts w:ascii="Arial" w:hAnsi="Arial" w:cs="Arial"/>
          <w:sz w:val="20"/>
          <w:szCs w:val="20"/>
        </w:rPr>
        <w:t>ALFF, due mainly to serotonin 5HT</w:t>
      </w:r>
      <w:r w:rsidRPr="00CC286C">
        <w:rPr>
          <w:rFonts w:ascii="Arial" w:hAnsi="Arial" w:cs="Arial"/>
          <w:sz w:val="20"/>
          <w:szCs w:val="20"/>
          <w:vertAlign w:val="subscript"/>
        </w:rPr>
        <w:t>1a</w:t>
      </w:r>
      <w:r w:rsidRPr="00CC286C">
        <w:rPr>
          <w:rFonts w:ascii="Arial" w:hAnsi="Arial" w:cs="Arial"/>
          <w:sz w:val="20"/>
          <w:szCs w:val="20"/>
        </w:rPr>
        <w:t>- and 5HT</w:t>
      </w:r>
      <w:r w:rsidRPr="00CC286C">
        <w:rPr>
          <w:rFonts w:ascii="Arial" w:hAnsi="Arial" w:cs="Arial"/>
          <w:sz w:val="20"/>
          <w:szCs w:val="20"/>
          <w:vertAlign w:val="subscript"/>
        </w:rPr>
        <w:t>1b</w:t>
      </w:r>
      <w:r w:rsidRPr="00CC286C">
        <w:rPr>
          <w:rFonts w:ascii="Arial" w:hAnsi="Arial" w:cs="Arial"/>
          <w:sz w:val="20"/>
          <w:szCs w:val="20"/>
        </w:rPr>
        <w:t>-receptor-related and mu-opioid receptor (MOR)</w:t>
      </w:r>
      <w:r w:rsidR="00CC42CF">
        <w:rPr>
          <w:rFonts w:ascii="Arial" w:hAnsi="Arial" w:cs="Arial"/>
          <w:sz w:val="20"/>
          <w:szCs w:val="20"/>
        </w:rPr>
        <w:t>-</w:t>
      </w:r>
      <w:r w:rsidRPr="00CC286C">
        <w:rPr>
          <w:rFonts w:ascii="Arial" w:hAnsi="Arial" w:cs="Arial"/>
          <w:sz w:val="20"/>
          <w:szCs w:val="20"/>
        </w:rPr>
        <w:t xml:space="preserve"> related</w:t>
      </w:r>
      <w:r w:rsidR="00CC42CF">
        <w:rPr>
          <w:rFonts w:ascii="Arial" w:hAnsi="Arial" w:cs="Arial"/>
          <w:sz w:val="20"/>
          <w:szCs w:val="20"/>
        </w:rPr>
        <w:t xml:space="preserve"> </w:t>
      </w:r>
      <w:r w:rsidRPr="00CC286C">
        <w:rPr>
          <w:rFonts w:ascii="Arial" w:hAnsi="Arial" w:cs="Arial"/>
          <w:sz w:val="20"/>
          <w:szCs w:val="20"/>
        </w:rPr>
        <w:t xml:space="preserve">activities. </w:t>
      </w:r>
      <w:r w:rsidRPr="00CC286C">
        <w:rPr>
          <w:rFonts w:ascii="Arial" w:hAnsi="Arial" w:cs="Arial"/>
          <w:b/>
          <w:bCs/>
          <w:sz w:val="20"/>
          <w:szCs w:val="20"/>
        </w:rPr>
        <w:t xml:space="preserve">e. </w:t>
      </w:r>
      <w:r w:rsidRPr="00CC286C">
        <w:rPr>
          <w:rFonts w:ascii="Arial" w:hAnsi="Arial" w:cs="Arial"/>
          <w:sz w:val="20"/>
          <w:szCs w:val="20"/>
        </w:rPr>
        <w:t xml:space="preserve">Scatter plots for change in </w:t>
      </w:r>
      <w:r w:rsidRPr="00CC286C">
        <w:rPr>
          <w:rFonts w:ascii="Arial" w:hAnsi="Arial" w:cs="Arial"/>
          <w:kern w:val="0"/>
          <w:sz w:val="20"/>
          <w:szCs w:val="20"/>
          <w14:ligatures w14:val="none"/>
        </w:rPr>
        <w:sym w:font="Symbol" w:char="F044"/>
      </w:r>
      <w:r w:rsidRPr="00CC286C">
        <w:rPr>
          <w:rFonts w:ascii="Arial" w:hAnsi="Arial" w:cs="Arial"/>
          <w:sz w:val="20"/>
          <w:szCs w:val="20"/>
        </w:rPr>
        <w:t xml:space="preserve">ALFF with 5-HT1A (left), 5-HT1B (middle), and MOR (right) receptor distributions (100 brain areas), adjusted for covariates and the other 18 receptor distributions. Top brain images show the corresponding receptor density map, and bottom brain images illustrate the most positive (red) and negative (blue) regions driving the correlations. </w:t>
      </w:r>
      <w:r w:rsidRPr="00CC286C">
        <w:rPr>
          <w:rFonts w:ascii="Arial" w:hAnsi="Arial" w:cs="Arial"/>
          <w:b/>
          <w:bCs/>
          <w:sz w:val="20"/>
          <w:szCs w:val="20"/>
        </w:rPr>
        <w:t>f.</w:t>
      </w:r>
      <w:r w:rsidRPr="00CC286C">
        <w:rPr>
          <w:rFonts w:ascii="Arial" w:hAnsi="Arial" w:cs="Arial"/>
          <w:sz w:val="20"/>
          <w:szCs w:val="20"/>
        </w:rPr>
        <w:t xml:space="preserve"> Individual subject whole-cortex receptor-related activity was derived </w:t>
      </w:r>
      <w:r>
        <w:rPr>
          <w:rFonts w:ascii="Arial" w:hAnsi="Arial" w:cs="Arial"/>
          <w:sz w:val="20"/>
          <w:szCs w:val="20"/>
        </w:rPr>
        <w:t xml:space="preserve">by computing normalized dot product of a given receptor-related map (R) with the subject’s ALFF pattern (R*ALFF), computed </w:t>
      </w:r>
      <w:r w:rsidRPr="00CC286C">
        <w:rPr>
          <w:rFonts w:ascii="Arial" w:hAnsi="Arial" w:cs="Arial"/>
          <w:sz w:val="20"/>
          <w:szCs w:val="20"/>
        </w:rPr>
        <w:t>for 5HT</w:t>
      </w:r>
      <w:r w:rsidRPr="00CC286C">
        <w:rPr>
          <w:rFonts w:ascii="Arial" w:hAnsi="Arial" w:cs="Arial"/>
          <w:sz w:val="20"/>
          <w:szCs w:val="20"/>
          <w:vertAlign w:val="subscript"/>
        </w:rPr>
        <w:t>1a</w:t>
      </w:r>
      <w:r w:rsidRPr="00CC286C">
        <w:rPr>
          <w:rFonts w:ascii="Arial" w:hAnsi="Arial" w:cs="Arial"/>
          <w:sz w:val="20"/>
          <w:szCs w:val="20"/>
        </w:rPr>
        <w:t xml:space="preserve"> (5HT</w:t>
      </w:r>
      <w:r w:rsidRPr="00CC286C">
        <w:rPr>
          <w:rFonts w:ascii="Arial" w:hAnsi="Arial" w:cs="Arial"/>
          <w:sz w:val="20"/>
          <w:szCs w:val="20"/>
          <w:vertAlign w:val="subscript"/>
        </w:rPr>
        <w:t>1a</w:t>
      </w:r>
      <w:r w:rsidRPr="00CC286C">
        <w:rPr>
          <w:rFonts w:ascii="Arial" w:hAnsi="Arial" w:cs="Arial"/>
          <w:sz w:val="20"/>
          <w:szCs w:val="20"/>
        </w:rPr>
        <w:t>R*ALFF), 5HT</w:t>
      </w:r>
      <w:r w:rsidRPr="00CC286C">
        <w:rPr>
          <w:rFonts w:ascii="Arial" w:hAnsi="Arial" w:cs="Arial"/>
          <w:sz w:val="20"/>
          <w:szCs w:val="20"/>
          <w:vertAlign w:val="subscript"/>
        </w:rPr>
        <w:t>1b</w:t>
      </w:r>
      <w:r w:rsidRPr="00CC286C">
        <w:rPr>
          <w:rFonts w:ascii="Arial" w:hAnsi="Arial" w:cs="Arial"/>
          <w:sz w:val="20"/>
          <w:szCs w:val="20"/>
        </w:rPr>
        <w:t xml:space="preserve"> (5HT</w:t>
      </w:r>
      <w:r w:rsidRPr="00CC286C">
        <w:rPr>
          <w:rFonts w:ascii="Arial" w:hAnsi="Arial" w:cs="Arial"/>
          <w:sz w:val="20"/>
          <w:szCs w:val="20"/>
          <w:vertAlign w:val="subscript"/>
        </w:rPr>
        <w:t>1b</w:t>
      </w:r>
      <w:r w:rsidRPr="00CC286C">
        <w:rPr>
          <w:rFonts w:ascii="Arial" w:hAnsi="Arial" w:cs="Arial"/>
          <w:sz w:val="20"/>
          <w:szCs w:val="20"/>
        </w:rPr>
        <w:t>R*ALFF), MOR (MOR*ALFF) and compared between healthy subjects (n=3</w:t>
      </w:r>
      <w:r>
        <w:rPr>
          <w:rFonts w:ascii="Arial" w:hAnsi="Arial" w:cs="Arial"/>
          <w:sz w:val="20"/>
          <w:szCs w:val="20"/>
        </w:rPr>
        <w:t>0</w:t>
      </w:r>
      <w:r w:rsidRPr="00CC286C">
        <w:rPr>
          <w:rFonts w:ascii="Arial" w:hAnsi="Arial" w:cs="Arial"/>
          <w:sz w:val="20"/>
          <w:szCs w:val="20"/>
        </w:rPr>
        <w:t>, matched for age and sex), CBP-O (n=70), and CBP+O (n=70).  Serotonin receptor-related activities were lower only in CBP+O, wh</w:t>
      </w:r>
      <w:r>
        <w:rPr>
          <w:rFonts w:ascii="Arial" w:hAnsi="Arial" w:cs="Arial"/>
          <w:sz w:val="20"/>
          <w:szCs w:val="20"/>
        </w:rPr>
        <w:t>ereas</w:t>
      </w:r>
      <w:r w:rsidRPr="00CC286C">
        <w:rPr>
          <w:rFonts w:ascii="Arial" w:hAnsi="Arial" w:cs="Arial"/>
          <w:sz w:val="20"/>
          <w:szCs w:val="20"/>
        </w:rPr>
        <w:t xml:space="preserve"> opioid receptor-related activity was low in CBP</w:t>
      </w:r>
      <w:r>
        <w:rPr>
          <w:rFonts w:ascii="Arial" w:hAnsi="Arial" w:cs="Arial"/>
          <w:sz w:val="20"/>
          <w:szCs w:val="20"/>
        </w:rPr>
        <w:t>-</w:t>
      </w:r>
      <w:r w:rsidRPr="00CC286C">
        <w:rPr>
          <w:rFonts w:ascii="Arial" w:hAnsi="Arial" w:cs="Arial"/>
          <w:sz w:val="20"/>
          <w:szCs w:val="20"/>
        </w:rPr>
        <w:t xml:space="preserve">O and </w:t>
      </w:r>
      <w:r>
        <w:rPr>
          <w:rFonts w:ascii="Arial" w:hAnsi="Arial" w:cs="Arial"/>
          <w:sz w:val="20"/>
          <w:szCs w:val="20"/>
        </w:rPr>
        <w:t xml:space="preserve">normal in </w:t>
      </w:r>
      <w:r w:rsidRPr="00CC286C">
        <w:rPr>
          <w:rFonts w:ascii="Arial" w:hAnsi="Arial" w:cs="Arial"/>
          <w:sz w:val="20"/>
          <w:szCs w:val="20"/>
        </w:rPr>
        <w:t xml:space="preserve">CBP+O </w:t>
      </w:r>
      <w:r>
        <w:rPr>
          <w:rFonts w:ascii="Arial" w:hAnsi="Arial" w:cs="Arial"/>
          <w:sz w:val="20"/>
          <w:szCs w:val="20"/>
        </w:rPr>
        <w:t>compared</w:t>
      </w:r>
      <w:r w:rsidRPr="00CC286C">
        <w:rPr>
          <w:rFonts w:ascii="Arial" w:hAnsi="Arial" w:cs="Arial"/>
          <w:sz w:val="20"/>
          <w:szCs w:val="20"/>
        </w:rPr>
        <w:t xml:space="preserve"> to healthy controls.</w:t>
      </w:r>
      <w:r>
        <w:rPr>
          <w:rFonts w:ascii="Arial" w:hAnsi="Arial" w:cs="Arial"/>
          <w:sz w:val="20"/>
          <w:szCs w:val="20"/>
        </w:rPr>
        <w:t xml:space="preserve"> P-values (&gt;0.05 *) in </w:t>
      </w:r>
      <w:r w:rsidRPr="004C3E7A">
        <w:rPr>
          <w:rFonts w:ascii="Arial" w:hAnsi="Arial" w:cs="Arial"/>
          <w:b/>
          <w:bCs/>
          <w:sz w:val="20"/>
          <w:szCs w:val="20"/>
        </w:rPr>
        <w:t>b and c</w:t>
      </w:r>
      <w:r>
        <w:rPr>
          <w:rFonts w:ascii="Arial" w:hAnsi="Arial" w:cs="Arial"/>
          <w:sz w:val="20"/>
          <w:szCs w:val="20"/>
        </w:rPr>
        <w:t xml:space="preserve"> are based on permutation testing.</w:t>
      </w:r>
    </w:p>
    <w:sectPr w:rsidR="00DA786D" w:rsidRPr="00D86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94D"/>
    <w:rsid w:val="00012B55"/>
    <w:rsid w:val="000B0238"/>
    <w:rsid w:val="000B6F1E"/>
    <w:rsid w:val="000E0577"/>
    <w:rsid w:val="000E6BAA"/>
    <w:rsid w:val="000F3378"/>
    <w:rsid w:val="00106756"/>
    <w:rsid w:val="00142B91"/>
    <w:rsid w:val="001B3EB0"/>
    <w:rsid w:val="00211D90"/>
    <w:rsid w:val="0022460C"/>
    <w:rsid w:val="002567B1"/>
    <w:rsid w:val="00277CEE"/>
    <w:rsid w:val="002A1CC0"/>
    <w:rsid w:val="002D7BF1"/>
    <w:rsid w:val="003049D1"/>
    <w:rsid w:val="00333A35"/>
    <w:rsid w:val="00341EDF"/>
    <w:rsid w:val="003D7926"/>
    <w:rsid w:val="003F71A2"/>
    <w:rsid w:val="0042204B"/>
    <w:rsid w:val="00446DA9"/>
    <w:rsid w:val="004477CE"/>
    <w:rsid w:val="00496645"/>
    <w:rsid w:val="004B6C2D"/>
    <w:rsid w:val="004C50D3"/>
    <w:rsid w:val="00500D7B"/>
    <w:rsid w:val="0052012F"/>
    <w:rsid w:val="00540F71"/>
    <w:rsid w:val="005E083C"/>
    <w:rsid w:val="005F0E3D"/>
    <w:rsid w:val="005F73BB"/>
    <w:rsid w:val="006562E5"/>
    <w:rsid w:val="006606B2"/>
    <w:rsid w:val="006F58BE"/>
    <w:rsid w:val="007335B9"/>
    <w:rsid w:val="00745C9F"/>
    <w:rsid w:val="007E2836"/>
    <w:rsid w:val="007E75CD"/>
    <w:rsid w:val="00810F61"/>
    <w:rsid w:val="00834300"/>
    <w:rsid w:val="00843594"/>
    <w:rsid w:val="008874BC"/>
    <w:rsid w:val="008E04E4"/>
    <w:rsid w:val="008E56E0"/>
    <w:rsid w:val="0090525D"/>
    <w:rsid w:val="00912995"/>
    <w:rsid w:val="009F2A37"/>
    <w:rsid w:val="00A064B8"/>
    <w:rsid w:val="00A3367A"/>
    <w:rsid w:val="00A52066"/>
    <w:rsid w:val="00A93504"/>
    <w:rsid w:val="00AC03E0"/>
    <w:rsid w:val="00AF5AF2"/>
    <w:rsid w:val="00B05C7A"/>
    <w:rsid w:val="00B327B4"/>
    <w:rsid w:val="00B811E4"/>
    <w:rsid w:val="00B95BD6"/>
    <w:rsid w:val="00B97ED4"/>
    <w:rsid w:val="00BA1481"/>
    <w:rsid w:val="00BA3342"/>
    <w:rsid w:val="00BC5A2E"/>
    <w:rsid w:val="00C01CF6"/>
    <w:rsid w:val="00C169C8"/>
    <w:rsid w:val="00C512D2"/>
    <w:rsid w:val="00CC42CF"/>
    <w:rsid w:val="00CE257D"/>
    <w:rsid w:val="00D17756"/>
    <w:rsid w:val="00D51A92"/>
    <w:rsid w:val="00D8694D"/>
    <w:rsid w:val="00DA786D"/>
    <w:rsid w:val="00DE407A"/>
    <w:rsid w:val="00DE57F4"/>
    <w:rsid w:val="00E26178"/>
    <w:rsid w:val="00E639B1"/>
    <w:rsid w:val="00E71F2C"/>
    <w:rsid w:val="00E96806"/>
    <w:rsid w:val="00EA45AC"/>
    <w:rsid w:val="00EE1549"/>
    <w:rsid w:val="00EF44E2"/>
    <w:rsid w:val="00F17E28"/>
    <w:rsid w:val="00F45A32"/>
    <w:rsid w:val="00F97F43"/>
    <w:rsid w:val="00FD0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986DD6"/>
  <w15:chartTrackingRefBased/>
  <w15:docId w15:val="{3FBE1C49-D5FD-F14E-8494-51DF7534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D"/>
  </w:style>
  <w:style w:type="paragraph" w:styleId="Heading1">
    <w:name w:val="heading 1"/>
    <w:basedOn w:val="Normal"/>
    <w:next w:val="Normal"/>
    <w:link w:val="Heading1Char"/>
    <w:uiPriority w:val="9"/>
    <w:qFormat/>
    <w:rsid w:val="00D86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94D"/>
    <w:rPr>
      <w:rFonts w:eastAsiaTheme="majorEastAsia" w:cstheme="majorBidi"/>
      <w:color w:val="272727" w:themeColor="text1" w:themeTint="D8"/>
    </w:rPr>
  </w:style>
  <w:style w:type="paragraph" w:styleId="Title">
    <w:name w:val="Title"/>
    <w:basedOn w:val="Normal"/>
    <w:next w:val="Normal"/>
    <w:link w:val="TitleChar"/>
    <w:uiPriority w:val="10"/>
    <w:qFormat/>
    <w:rsid w:val="00D86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94D"/>
    <w:pPr>
      <w:spacing w:before="160"/>
      <w:jc w:val="center"/>
    </w:pPr>
    <w:rPr>
      <w:i/>
      <w:iCs/>
      <w:color w:val="404040" w:themeColor="text1" w:themeTint="BF"/>
    </w:rPr>
  </w:style>
  <w:style w:type="character" w:customStyle="1" w:styleId="QuoteChar">
    <w:name w:val="Quote Char"/>
    <w:basedOn w:val="DefaultParagraphFont"/>
    <w:link w:val="Quote"/>
    <w:uiPriority w:val="29"/>
    <w:rsid w:val="00D8694D"/>
    <w:rPr>
      <w:i/>
      <w:iCs/>
      <w:color w:val="404040" w:themeColor="text1" w:themeTint="BF"/>
    </w:rPr>
  </w:style>
  <w:style w:type="paragraph" w:styleId="ListParagraph">
    <w:name w:val="List Paragraph"/>
    <w:basedOn w:val="Normal"/>
    <w:uiPriority w:val="34"/>
    <w:qFormat/>
    <w:rsid w:val="00D8694D"/>
    <w:pPr>
      <w:ind w:left="720"/>
      <w:contextualSpacing/>
    </w:pPr>
  </w:style>
  <w:style w:type="character" w:styleId="IntenseEmphasis">
    <w:name w:val="Intense Emphasis"/>
    <w:basedOn w:val="DefaultParagraphFont"/>
    <w:uiPriority w:val="21"/>
    <w:qFormat/>
    <w:rsid w:val="00D8694D"/>
    <w:rPr>
      <w:i/>
      <w:iCs/>
      <w:color w:val="0F4761" w:themeColor="accent1" w:themeShade="BF"/>
    </w:rPr>
  </w:style>
  <w:style w:type="paragraph" w:styleId="IntenseQuote">
    <w:name w:val="Intense Quote"/>
    <w:basedOn w:val="Normal"/>
    <w:next w:val="Normal"/>
    <w:link w:val="IntenseQuoteChar"/>
    <w:uiPriority w:val="30"/>
    <w:qFormat/>
    <w:rsid w:val="00D86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94D"/>
    <w:rPr>
      <w:i/>
      <w:iCs/>
      <w:color w:val="0F4761" w:themeColor="accent1" w:themeShade="BF"/>
    </w:rPr>
  </w:style>
  <w:style w:type="character" w:styleId="IntenseReference">
    <w:name w:val="Intense Reference"/>
    <w:basedOn w:val="DefaultParagraphFont"/>
    <w:uiPriority w:val="32"/>
    <w:qFormat/>
    <w:rsid w:val="00D86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249</Words>
  <Characters>1484</Characters>
  <Application>Microsoft Office Word</Application>
  <DocSecurity>0</DocSecurity>
  <Lines>18</Lines>
  <Paragraphs>1</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Apkar Apkarian</dc:creator>
  <cp:keywords/>
  <dc:description/>
  <cp:lastModifiedBy>Apkar Apkarian</cp:lastModifiedBy>
  <cp:revision>4</cp:revision>
  <cp:lastPrinted>2026-03-16T21:15:00Z</cp:lastPrinted>
  <dcterms:created xsi:type="dcterms:W3CDTF">2026-03-16T21:15:00Z</dcterms:created>
  <dcterms:modified xsi:type="dcterms:W3CDTF">2026-03-31T21:15:00Z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f89c639c194e5840f84ae70b4d1e9325271af58d29d0625accd3a5fd89c0979f</vt:lpwstr>
  </property>
</Properties>
</file>