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Table 4. NRS pain regressed on 5-HT4 / 5-HT6 activity, log10 ROE and drug group</w:t>
      </w:r>
    </w:p>
    <w:p>
      <w:pPr>
        <w:spacing w:before="0" w:after="60"/>
        <w:keepNext/>
        <w:jc w:val="start"/>
        <w:pStyle w:val="caption"/>
      </w:pPr>
      <w:r>
        <w:rPr>
          <w:rFonts w:ascii="Calibri" w:hAnsi="Calibri"/>
          <w:sz w:val="20"/>
          <w:color w:val="333333"/>
        </w:rPr>
        <w:t xml:space="default">Raw-unit coefficients, both groups in one model (n = 36)</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BLACK"/>
              <w:start w:val="single" w:space="0" w:color="D3D3D3"/>
            </w:tcBorders>
          </w:tcPr>
          <w:p>
            <w:pPr>
              <w:spacing w:before="0" w:after="60"/>
              <w:keepNext/>
            </w:pPr>
            <w:r>
              <w:rPr>
                <w:rFonts w:ascii="Calibri" w:hAnsi="Calibri"/>
                <w:sz w:val="20"/>
              </w:rPr>
              <w:t xml:space="default"/>
            </w:r>
          </w:p>
        </w:tc>
        <w:tc>
          <w:tcPr>
            <w:tcBorders>
              <w:top w:val="single" w:sz="16" w:space="0" w:color="BLACK"/>
              <w:bottom w:val="single" w:sz="16" w:space="0" w:color="BLACK"/>
              <w:end w:val="single" w:space="0" w:color="D3D3D3"/>
            </w:tcBorders>
            <w:gridSpan w:val="2"/>
          </w:tcPr>
          <w:p>
            <w:pPr>
              <w:spacing w:before="0" w:after="60"/>
              <w:keepNext/>
              <w:jc w:val="center"/>
            </w:pPr>
            <w:r>
              <w:rPr>
                <w:rFonts w:ascii="Calibri" w:hAnsi="Calibri"/>
                <w:sz w:val="20"/>
              </w:rPr>
              <w:t xml:space="default">Both groups (pooled)</w:t>
            </w:r>
          </w:p>
        </w:tc>
      </w:tr>
      <w:tr>
        <w:trPr>
          <w:cantSplit/>
          <w:tblHeader/>
        </w:trPr>
        <w:tc>
          <w:tcPr>
            <w:tcBorders>
              <w:bottom w:val="single" w:sz="16" w:space="0" w:color="BLACK"/>
              <w:start w:val="single" w:space="0" w:color="D3D3D3"/>
            </w:tcBorders>
          </w:tcPr>
          <w:p>
            <w:pPr>
              <w:spacing w:before="0" w:after="60"/>
              <w:keepNext/>
              <w:jc w:val="start"/>
            </w:pPr>
            <w:r>
              <w:rPr>
                <w:rFonts w:ascii="Calibri" w:hAnsi="Calibri"/>
                <w:sz w:val="20"/>
              </w:rPr>
              <w:t xml:space="default">Predictor</w:t>
            </w:r>
            <w:r>
              <w:rPr>
                <w:vertAlign w:val="superscript"/>
                <w:i/>
                <w:rFonts w:ascii="Calibri" w:hAnsi="Calibri"/>
                <w:sz w:val="20"/>
              </w:rPr>
              <w:t xml:space="default">1</w:t>
            </w:r>
          </w:p>
        </w:tc>
        <w:tc>
          <w:tcPr>
            <w:tcBorders>
              <w:bottom w:val="single" w:sz="16" w:space="0" w:color="BLACK"/>
            </w:tcBorders>
          </w:tcPr>
          <w:p>
            <w:pPr>
              <w:spacing w:before="0" w:after="60"/>
              <w:keepNext/>
              <w:jc w:val="center"/>
            </w:pPr>
            <w:r>
              <w:rPr>
                <w:rFonts w:ascii="Calibri" w:hAnsi="Calibri"/>
                <w:sz w:val="20"/>
              </w:rPr>
              <w:t xml:space="default">P1 5-HT4 + 5-HT6 + ROE + drug</w:t>
            </w:r>
            <w:r>
              <w:rPr>
                <w:vertAlign w:val="superscript"/>
                <w:i/>
                <w:rFonts w:ascii="Calibri" w:hAnsi="Calibri"/>
                <w:sz w:val="20"/>
              </w:rPr>
              <w:t xml:space="default">2</w:t>
            </w:r>
          </w:p>
        </w:tc>
        <w:tc>
          <w:tcPr>
            <w:tcBorders>
              <w:bottom w:val="single" w:sz="16" w:space="0" w:color="BLACK"/>
              <w:end w:val="single" w:space="0" w:color="D3D3D3"/>
            </w:tcBorders>
          </w:tcPr>
          <w:p>
            <w:pPr>
              <w:spacing w:before="0" w:after="60"/>
              <w:keepNext/>
              <w:jc w:val="center"/>
            </w:pPr>
            <w:r>
              <w:rPr>
                <w:rFonts w:ascii="Calibri" w:hAnsi="Calibri"/>
                <w:sz w:val="20"/>
              </w:rPr>
              <w:t xml:space="default">P2 + drug x each predictor</w:t>
            </w:r>
          </w:p>
        </w:tc>
      </w:tr>
      <w:tr>
        <w:trPr>
          <w:cantSplit/>
        </w:trPr>
        <w:tc>
          <w:tcPr>
            <w:tcBorders>
              <w:top w:val="single" w:space="0" w:color="TRANSPARENT"/>
              <w:bottom w:val="single" w:space="0" w:color="TRANSPARENT"/>
              <w:start w:val="single" w:space="0" w:color="TRANSPARENT"/>
              <w:end w:val="single" w:space="0" w:color="TRANSPARENT"/>
            </w:tcBorders>
          </w:tcPr>
          <w:p>
            <w:pPr>
              <w:spacing w:before="0" w:after="60"/>
              <w:keepNext/>
              <w:jc w:val="start"/>
            </w:pPr>
            <w:r>
              <w:rPr>
                <w:rFonts w:ascii="Calibri" w:hAnsi="Calibri"/>
                <w:sz w:val="20"/>
              </w:rPr>
              <w:t xml:space="default">Intercept</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rPr>
              <w:t xml:space="default">7.768***</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rPr>
              <w:t xml:space="default">10.238***</w:t>
            </w:r>
          </w:p>
        </w:tc>
      </w:tr>
      <w:tr>
        <w:trPr>
          <w:cantSplit/>
        </w:trPr>
        <w:tc>
          <w:tcPr>
            <w:tcBorders>
              <w:top w:val="single" w:space="0" w:color="TRANSPARENT"/>
              <w:bottom w:val="single" w:space="0" w:color="TRANSPARENT"/>
              <w:start w:val="single" w:space="0" w:color="TRANSPARENT"/>
              <w:end w:val="single" w:space="0" w:color="TRANSPARENT"/>
            </w:tcBorders>
          </w:tcPr>
          <w:p>
            <w:pPr>
              <w:spacing w:before="0" w:after="60"/>
              <w:keepNext/>
              <w:jc w:val="start"/>
            </w:pPr>
            <w:r>
              <w:rPr>
                <w:rFonts w:ascii="Calibri" w:hAnsi="Calibri"/>
                <w:sz w:val="20"/>
              </w:rPr>
              <w:t xml:space="default">5-HT4 activity</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rPr>
              <w:t xml:space="default">1.233</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rPr>
              <w:t xml:space="default">2.463**</w:t>
            </w:r>
          </w:p>
        </w:tc>
      </w:tr>
      <w:tr>
        <w:trPr>
          <w:cantSplit/>
        </w:trPr>
        <w:tc>
          <w:tcPr>
            <w:tcBorders>
              <w:top w:val="single" w:space="0" w:color="TRANSPARENT"/>
              <w:bottom w:val="single" w:space="0" w:color="TRANSPARENT"/>
              <w:start w:val="single" w:space="0" w:color="TRANSPARENT"/>
              <w:end w:val="single" w:space="0" w:color="TRANSPARENT"/>
            </w:tcBorders>
          </w:tcPr>
          <w:p>
            <w:pPr>
              <w:spacing w:before="0" w:after="60"/>
              <w:keepNext/>
              <w:jc w:val="start"/>
            </w:pPr>
            <w:r>
              <w:rPr>
                <w:rFonts w:ascii="Calibri" w:hAnsi="Calibri"/>
                <w:sz w:val="20"/>
              </w:rPr>
              <w:t xml:space="default">5-HT6 activity</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rPr>
              <w:t xml:space="default">1.938</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rPr>
              <w:t xml:space="default">0.602</w:t>
            </w:r>
          </w:p>
        </w:tc>
      </w:tr>
      <w:tr>
        <w:trPr>
          <w:cantSplit/>
        </w:trPr>
        <w:tc>
          <w:tcPr>
            <w:tcBorders>
              <w:top w:val="single" w:space="0" w:color="TRANSPARENT"/>
              <w:bottom w:val="single" w:space="0" w:color="TRANSPARENT"/>
              <w:start w:val="single" w:space="0" w:color="TRANSPARENT"/>
              <w:end w:val="single" w:space="0" w:color="TRANSPARENT"/>
            </w:tcBorders>
          </w:tcPr>
          <w:p>
            <w:pPr>
              <w:spacing w:before="0" w:after="60"/>
              <w:keepNext/>
              <w:jc w:val="start"/>
            </w:pPr>
            <w:r>
              <w:rPr>
                <w:rFonts w:ascii="Calibri" w:hAnsi="Calibri"/>
                <w:sz w:val="20"/>
              </w:rPr>
              <w:t xml:space="default">log10 ROE</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rPr>
              <w:t xml:space="default">0.535</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rPr>
              <w:t xml:space="default">1.412*</w:t>
            </w:r>
          </w:p>
        </w:tc>
      </w:tr>
      <w:tr>
        <w:trPr>
          <w:cantSplit/>
        </w:trPr>
        <w:tc>
          <w:tcPr>
            <w:tcBorders>
              <w:top w:val="single" w:space="0" w:color="TRANSPARENT"/>
              <w:bottom w:val="single" w:space="0" w:color="TRANSPARENT"/>
              <w:start w:val="single" w:space="0" w:color="TRANSPARENT"/>
              <w:end w:val="single" w:space="0" w:color="TRANSPARENT"/>
            </w:tcBorders>
          </w:tcPr>
          <w:p>
            <w:pPr>
              <w:spacing w:before="0" w:after="60"/>
              <w:keepNext/>
              <w:jc w:val="start"/>
            </w:pPr>
            <w:r>
              <w:rPr>
                <w:rFonts w:ascii="Calibri" w:hAnsi="Calibri"/>
                <w:sz w:val="20"/>
              </w:rPr>
              <w:t xml:space="default">Drug group (Tramadol vs Hydrocodone)</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rPr>
              <w:t xml:space="default">0.337</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rPr>
              <w:t xml:space="default">-20.430***</w:t>
            </w:r>
          </w:p>
        </w:tc>
      </w:tr>
      <w:tr>
        <w:trPr>
          <w:cantSplit/>
        </w:trPr>
        <w:tc>
          <w:tcPr>
            <w:tcBorders>
              <w:top w:val="single" w:space="0" w:color="TRANSPARENT"/>
              <w:bottom w:val="single" w:space="0" w:color="TRANSPARENT"/>
              <w:start w:val="single" w:space="0" w:color="TRANSPARENT"/>
              <w:end w:val="single" w:space="0" w:color="TRANSPARENT"/>
            </w:tcBorders>
          </w:tcPr>
          <w:p>
            <w:pPr>
              <w:spacing w:before="0" w:after="60"/>
              <w:keepNext/>
              <w:jc w:val="start"/>
            </w:pPr>
            <w:r>
              <w:rPr>
                <w:rFonts w:ascii="Calibri" w:hAnsi="Calibri"/>
                <w:sz w:val="20"/>
              </w:rPr>
              <w:t xml:space="default">Group x 5-HT4</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rPr>
              <w:t xml:space="default">--</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rPr>
              <w:t xml:space="default">-3.424*</w:t>
            </w:r>
          </w:p>
        </w:tc>
      </w:tr>
      <w:tr>
        <w:trPr>
          <w:cantSplit/>
        </w:trPr>
        <w:tc>
          <w:tcPr>
            <w:tcBorders>
              <w:top w:val="single" w:space="0" w:color="TRANSPARENT"/>
              <w:bottom w:val="single" w:space="0" w:color="TRANSPARENT"/>
              <w:start w:val="single" w:space="0" w:color="TRANSPARENT"/>
              <w:end w:val="single" w:space="0" w:color="TRANSPARENT"/>
            </w:tcBorders>
          </w:tcPr>
          <w:p>
            <w:pPr>
              <w:spacing w:before="0" w:after="60"/>
              <w:keepNext/>
              <w:jc w:val="start"/>
            </w:pPr>
            <w:r>
              <w:rPr>
                <w:rFonts w:ascii="Calibri" w:hAnsi="Calibri"/>
                <w:sz w:val="20"/>
              </w:rPr>
              <w:t xml:space="default">Group x 5-HT6</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rPr>
              <w:t xml:space="default">--</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rPr>
              <w:t xml:space="default">5.501*</w:t>
            </w:r>
          </w:p>
        </w:tc>
      </w:tr>
      <w:tr>
        <w:trPr>
          <w:cantSplit/>
        </w:trPr>
        <w:tc>
          <w:tcPr>
            <w:tcBorders>
              <w:top w:val="single" w:space="0" w:color="TRANSPARENT"/>
              <w:bottom w:val="single" w:space="0" w:color="TRANSPARENT"/>
              <w:start w:val="single" w:space="0" w:color="TRANSPARENT"/>
              <w:end w:val="single" w:space="0" w:color="TRANSPARENT"/>
            </w:tcBorders>
          </w:tcPr>
          <w:p>
            <w:pPr>
              <w:spacing w:before="0" w:after="60"/>
              <w:keepNext/>
              <w:jc w:val="start"/>
            </w:pPr>
            <w:r>
              <w:rPr>
                <w:rFonts w:ascii="Calibri" w:hAnsi="Calibri"/>
                <w:sz w:val="20"/>
              </w:rPr>
              <w:t xml:space="default">Group x log10 ROE</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rPr>
              <w:t xml:space="default">--</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rPr>
              <w:t xml:space="default">-5.779***</w:t>
            </w:r>
          </w:p>
        </w:tc>
      </w:tr>
      <w:tr>
        <w:trPr>
          <w:cantSplit/>
        </w:trPr>
        <w:tc>
          <w:tcPr>
            <w:tcBorders>
              <w:top w:val="single" w:space="0" w:color="TRANSPARENT"/>
              <w:bottom w:val="single" w:space="0" w:color="TRANSPARENT"/>
              <w:start w:val="single" w:space="0" w:color="TRANSPARENT"/>
              <w:end w:val="single" w:space="0" w:color="TRANSPARENT"/>
            </w:tcBorders>
          </w:tcPr>
          <w:p>
            <w:pPr>
              <w:spacing w:before="0" w:after="60"/>
              <w:keepNext/>
              <w:jc w:val="start"/>
            </w:pPr>
            <w:r>
              <w:rPr>
                <w:rFonts w:ascii="Calibri" w:hAnsi="Calibri"/>
                <w:sz w:val="20"/>
                <w:i/>
              </w:rPr>
              <w:t xml:space="default">n</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i/>
              </w:rPr>
              <w:t xml:space="default">36</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i/>
              </w:rPr>
              <w:t xml:space="default">36</w:t>
            </w:r>
          </w:p>
        </w:tc>
      </w:tr>
      <w:tr>
        <w:trPr>
          <w:cantSplit/>
        </w:trPr>
        <w:tc>
          <w:tcPr>
            <w:tcBorders>
              <w:top w:val="single" w:space="0" w:color="TRANSPARENT"/>
              <w:bottom w:val="single" w:space="0" w:color="TRANSPARENT"/>
              <w:start w:val="single" w:space="0" w:color="TRANSPARENT"/>
              <w:end w:val="single" w:space="0" w:color="TRANSPARENT"/>
            </w:tcBorders>
          </w:tcPr>
          <w:p>
            <w:pPr>
              <w:spacing w:before="0" w:after="60"/>
              <w:keepNext/>
              <w:jc w:val="start"/>
            </w:pPr>
            <w:r>
              <w:rPr>
                <w:rFonts w:ascii="Calibri" w:hAnsi="Calibri"/>
                <w:sz w:val="20"/>
                <w:i/>
              </w:rPr>
              <w:t xml:space="default">adj. R2</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i/>
              </w:rPr>
              <w:t xml:space="default">0.099</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i/>
              </w:rPr>
              <w:t xml:space="default">0.481</w:t>
            </w:r>
          </w:p>
        </w:tc>
      </w:tr>
      <w:tr>
        <w:trPr>
          <w:cantSplit/>
        </w:trPr>
        <w:tc>
          <w:tcPr>
            <w:tcBorders>
              <w:top w:val="single" w:space="0" w:color="TRANSPARENT"/>
              <w:bottom w:val="single" w:space="0" w:color="TRANSPARENT"/>
              <w:start w:val="single" w:space="0" w:color="TRANSPARENT"/>
              <w:end w:val="single" w:space="0" w:color="TRANSPARENT"/>
            </w:tcBorders>
          </w:tcPr>
          <w:p>
            <w:pPr>
              <w:spacing w:before="0" w:after="60"/>
              <w:keepNext/>
              <w:jc w:val="start"/>
            </w:pPr>
            <w:r>
              <w:rPr>
                <w:rFonts w:ascii="Calibri" w:hAnsi="Calibri"/>
                <w:sz w:val="20"/>
                <w:i/>
              </w:rPr>
              <w:t xml:space="default">model p</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i/>
              </w:rPr>
              <w:t xml:space="default">0.125</w:t>
            </w:r>
          </w:p>
        </w:tc>
        <w:tc>
          <w:tcPr>
            <w:tcBorders>
              <w:top w:val="single" w:space="0" w:color="TRANSPARENT"/>
              <w:bottom w:val="single" w:space="0" w:color="TRANSPARENT"/>
              <w:start w:val="single" w:space="0" w:color="TRANSPARENT"/>
              <w:end w:val="single" w:space="0" w:color="TRANSPARENT"/>
            </w:tcBorders>
          </w:tcPr>
          <w:p>
            <w:pPr>
              <w:spacing w:before="0" w:after="60"/>
              <w:keepNext/>
              <w:jc w:val="center"/>
            </w:pPr>
            <w:r>
              <w:rPr>
                <w:rFonts w:ascii="Calibri" w:hAnsi="Calibri"/>
                <w:sz w:val="20"/>
                <w:i/>
              </w:rPr>
              <w:t xml:space="default">4.0e-04</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default">Raw-unit regression coefficients; *** p &lt; .001, ** p &lt; .01, * p &lt; .05. "--" marks a predictor the model does not contain. Raw coefficients are not comparable across predictors on different scales -- see the 07 output folder for standardized betas and confidence intervals.</w:t>
            </w:r>
          </w:p>
        </w:tc>
      </w:tr>
      <w:tr>
        <w:trPr>
          <w:cantSplit/>
        </w:trPr>
        <w:tc>
          <w:tcPr>
            <w:gridSpan w:val="3"/>
          </w:tcPr>
          <w:p>
            <w:pPr>
              <w:spacing w:before="0" w:after="60"/>
              <w:keepNext/>
            </w:pPr>
            <w:r>
              <w:rPr>
                <w:vertAlign w:val="superscript"/>
                <w:i/>
                <w:rFonts w:ascii="Calibri" w:hAnsi="Calibri"/>
                <w:sz w:val="20"/>
              </w:rPr>
              <w:t xml:space="default">2</w:t>
            </w:r>
            <w:r>
              <w:rPr>
                <w:rFonts w:ascii="Calibri" w:hAnsi="Calibri"/>
                <w:sz w:val="20"/>
              </w:rPr>
              <w:t xml:space="default">Both drug groups are fit in ONE model, with drug as a predictor. Drug is a factor with Hydrocodone group as reference, so every drug row reads Tramadol group minus Hydrocodone group. In P2 the plain receptor and ROE rows are that predictor's slope in Hydrocodone group; add the matching interaction row to get Tramadol group. P1 vs P2 is the test of whether the two drugs share slopes at all -- see the section 20 output folder for that F test and for each drug's derived slope. "model p" is the overall F test for that column's model.</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2026-08-28T23:12:54Z</dcterms:created>
  <dcterms:modified xsi:type="dcterms:W3CDTF">2026-08-28T23:12:54Z</dcterms:modified>
</cp:coreProperties>
</file>

<file path=docProps/custom.xml><?xml version="1.0" encoding="utf-8"?>
<Properties xmlns="http://schemas.openxmlformats.org/officeDocument/2006/custom-properties" xmlns:vt="http://schemas.openxmlformats.org/officeDocument/2006/docPropsVTypes"/>
</file>