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3. SOWS withdrawal regressed on log10 ROE and 5-HT4 / 5-HT6 activity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Raw-unit coefficients, fit separately within each drug group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Hydrocodone group</w:t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Tramadol group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Predictor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ROE + 5-HT4 + 5-HT6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+ 5-HT4 x 5-HT6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+ Sex, MQS, DOU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ROE + 5-HT4 + 5-HT6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+ 5-HT4 x 5-HT6</w:t>
            </w:r>
          </w:p>
        </w:tc>
        <w:tc>
          <w:tcPr>
            <w:tcBorders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+ Sex, MQS, DOU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10.553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12.584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13.410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-11.923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-8.269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-7.530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log10 ROE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-1.074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-0.991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-5.916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-5.307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-5.336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5-HT4 activity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6.950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11.466*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6.913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-5.830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-9.099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-7.113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5-HT6 activity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16.595*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19.012**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12.573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12.737*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15.055*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13.086*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5-HT4 x 5-HT6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38.438*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-11.345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(female = 1)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-7.394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-2.749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MQS non-opioid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0.074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of opioid use (yr)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-0.127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-0.158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n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</w:rPr>
              <w:t xml:space="default">19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</w:rPr>
              <w:t xml:space="default">19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</w:rPr>
              <w:t xml:space="default">19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</w:rPr>
              <w:t xml:space="default">17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</w:rPr>
              <w:t xml:space="default">17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</w:rPr>
              <w:t xml:space="default">17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adj. R2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</w:rPr>
              <w:t xml:space="default">0.336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</w:rPr>
              <w:t xml:space="default">0.509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</w:rPr>
              <w:t xml:space="default">0.388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</w:rPr>
              <w:t xml:space="default">0.268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</w:rPr>
              <w:t xml:space="default">0.237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</w:rPr>
              <w:t xml:space="default">0.176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model p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</w:rPr>
              <w:t xml:space="default">0.027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</w:rPr>
              <w:t xml:space="default">0.006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</w:rPr>
              <w:t xml:space="default">0.055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</w:rPr>
              <w:t xml:space="default">0.072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</w:rPr>
              <w:t xml:space="default">0.125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</w:rPr>
              <w:t xml:space="default">0.251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Raw-unit regression coefficients; *** p &lt; .001, ** p &lt; .01, * p &lt; .05. "--" marks a predictor the model does not contain. Raw coefficients are not comparable across predictors on different scales -- see the 07 output folder for standardized betas and confidence intervals.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Models are fit separately within each drug group, not pooled with a group term. "model p" is the overall F test for that column's model.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2026-08-14T16:33:28Z</dcterms:created>
  <dcterms:modified xsi:type="dcterms:W3CDTF">2026-08-14T16:33:28Z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