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65D"/>
          <w:sz w:val="50"/>
        </w:rPr>
        <w:t>Experiment &amp; Evidence Ledger</w:t>
      </w:r>
    </w:p>
    <w:p>
      <w:pPr>
        <w:spacing w:after="280"/>
      </w:pPr>
      <w:r>
        <w:rPr>
          <w:rFonts w:ascii="Aptos" w:hAnsi="Aptos"/>
          <w:i/>
          <w:color w:val="666666"/>
          <w:sz w:val="22"/>
        </w:rPr>
        <w:t>Detailed test chronology, raw measurements, validity notes, source threats, and artifact map</w:t>
      </w:r>
    </w:p>
    <w:p>
      <w:r>
        <w:rPr>
          <w:rFonts w:ascii="Aptos" w:hAnsi="Aptos"/>
          <w:color w:val="666666"/>
          <w:sz w:val="18"/>
        </w:rPr>
        <w:t>Handoff date: 16 September 2026  |  Scope: Master’s thesis / systems research ideation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AF0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7365D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This appendix is intentionally redundant with the master dossier. Its job is to preserve the experimental record so a future session can audit conclusions without relying on conversational memory.</w:t>
            </w:r>
          </w:p>
        </w:tc>
      </w:tr>
    </w:tbl>
    <w:p>
      <w:pPr>
        <w:spacing w:after="20"/>
      </w:pPr>
    </w:p>
    <w:p>
      <w:pPr>
        <w:pStyle w:val="Heading1"/>
      </w:pPr>
      <w:r>
        <w:t>A. Chronology of experiments and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43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V1 synthetic GPU-efficiency suite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Initial 5 ideas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Mostly hard-coded/synthetic; user correctly challenged validity. All GO/KILL claims withdrawn.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V2/V2.1 real Mac screens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Activation, network, elasticity, sharing, allocator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Used real MPS/socket/device operations. Identified flaws in network design and heterogeneous break-even interpretation.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V2.2 targeted suite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Corrected network, Alibaba trace, typed allocator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Network crossovers real; spare-capacity windows real upper-bound; typed-state memory pressure motivated vLLM hybrid-state investigation.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vLLM gap harness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Broad typed-state runtime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Killed “3+ groups / typed specs” novelty; found capability boundaries and active issues.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Reconstructability POC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Generic state semantics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A+B passed at planning layer; proved architecture-neutral expression, not physical recovery.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Min-cost planner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General recovery planner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11 plan signatures but simple per-row baselines matched 86.7%; general planner deprioritized.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Qwen Mac cached replay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Real hybrid model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Confirmed heterogeneous cache growth and suffix-replay cost scaling.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Qwen state-selective recovery v1.1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Divergent full-KV/recurrent state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Frozen-KV paths semantically wrong; negative timings invalid. Correct activation oracle only +9.5% in one tiny biased case.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Adversarial self-review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Audit of our own conclusions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Retracted premature KILL of selective recovery and premature promotion of collective arbitration.</w:t>
            </w:r>
          </w:p>
        </w:tc>
      </w:tr>
    </w:tbl>
    <w:p>
      <w:pPr>
        <w:spacing w:after="20"/>
      </w:pPr>
    </w:p>
    <w:p>
      <w:pPr>
        <w:pStyle w:val="Heading1"/>
      </w:pPr>
      <w:r>
        <w:t>B. V2.1 Mac screening — exact caveats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Machine: Apple M4, 16 GiB unified memory, macOS 26.5.2, PyTorch 2.14.0, MPS available, CUDA unavailable.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Activation residency: tested real forward/backward timing; keep stayed fastest at seq 384/768/1152; no crossover. This does not reproduce H100 HBM/PCIe behavior.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Network V2 test flaw: bulk-sync was structurally advantaged because all methods moved 64 MiB with similar compute while fine-grained methods paid more message latency without true overlapping structure. The no-crossover result was not used to kill the idea.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Heterogeneous elasticity V2 absolute break-even was not trusted because concurrent CPU+MPS throughput could exceed isolated-sum expectations (~71% in one sample), likely unified-memory/scheduling artifact.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GPU-sharing interference: separate processes were required because same-process Metal concurrent encoder submission crashed. Real observation: compute-heavy throughput ~797.9→768.3 ops/s (-3.7%); bandwidth-heavy ~481.3→202.6 (-57.9%); combined normalized throughput ~1.384. Real phenomenon, but thesis space crowded.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Hybrid allocator probe: simple uniform layout waste was large, but current vLLM/SGLang/TensorRT-LLM/llama.cpp/AVMP already have separate/packed pools, so allocator savings alone are not a novel thesis.</w:t>
      </w:r>
    </w:p>
    <w:p>
      <w:pPr>
        <w:pStyle w:val="Heading1"/>
      </w:pPr>
      <w:r>
        <w:t>C. V2.2 corrected targeted screening</w:t>
      </w:r>
    </w:p>
    <w:p>
      <w:pPr>
        <w:pStyle w:val="Heading2"/>
      </w:pPr>
      <w:r>
        <w:t>C1. Network overlap/granularity</w:t>
      </w:r>
    </w:p>
    <w:p>
      <w:r>
        <w:rPr>
          <w:rFonts w:ascii="Aptos" w:hAnsi="Aptos"/>
          <w:sz w:val="21"/>
        </w:rPr>
        <w:t>15 shaped-network conditions; same compute chunks and 64 MiB total communication. Fine overlap won 6, coarse overlap won 3, bulk sync won 6. Median winner advantage over second place was ~2.9%; boundaries could be nearly tied. This confirms a crossover exists but not a large universal advantage.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4D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1"/>
              </w:rPr>
              <w:t>Novelty attack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Syncopate (OSDI 2026), REACT (2026), PIPEMORPH and NCCL controls already attack compute/communication overlap and adaptation. The phenomenon is real; the research gap is crowded.</w:t>
            </w:r>
          </w:p>
        </w:tc>
      </w:tr>
    </w:tbl>
    <w:p>
      <w:pPr>
        <w:spacing w:after="20"/>
      </w:pPr>
    </w:p>
    <w:p>
      <w:pPr>
        <w:pStyle w:val="Heading2"/>
      </w:pPr>
      <w:r>
        <w:t>C2. Alibaba 2026 spot-GPU trace elasticity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GPU type / &gt;=4 spare GPUs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Median contiguous spare window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Fraction of windows &gt;4.36 s (approx.)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A10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~7.5 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~53%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A100-80GB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~305.5 s (~5.1 min)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~96.5%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GPU-series-2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382 s (~6.4 min)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80%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H800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7610.5 s (~2.1 h)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98.3%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The 4.36 s anchor came from DynaTrain’s reported reconfiguration point for a 235B MoE model; &lt;2 s was used for a 70B dense anchor. IMPORTANT: “spare capacity” = node inventory minus concurrent high-priority requested GPUs. It is an upper-bound opportunity signal, not proof one elastic job could acquire that capacity. Very long windows may reflect structural slack.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FF4D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5A00"/>
                <w:sz w:val="21"/>
              </w:rPr>
              <w:t>Surviving narrow angle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Opportunistic heterogeneous elastic training: when temporary GPUs of a different capability class appear, decide whether to accept them under uncertain lease lifetime, asymmetric steady-state efficiency and capability-changing redistribution cost. Novelty remains thin because GFS, DynaTrain, LiveR and Zorse are adjacent.</w:t>
            </w:r>
          </w:p>
        </w:tc>
      </w:tr>
    </w:tbl>
    <w:p>
      <w:pPr>
        <w:spacing w:after="20"/>
      </w:pPr>
    </w:p>
    <w:p>
      <w:pPr>
        <w:pStyle w:val="Heading2"/>
      </w:pPr>
      <w:r>
        <w:t>C3. Typed hybrid-state allocator screen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8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Min savings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Median savings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Max savings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Irregular 2-type: 20 full + 30 sliding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16.7%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36.4%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53.7%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3-type: +6 recurrent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9.0%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39.8%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59.9%</w:t>
            </w:r>
          </w:p>
        </w:tc>
      </w:tr>
      <w:tr>
        <w:trPr>
          <w:cantSplit/>
        </w:trP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FP8 attention + recurrent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1.0%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50.3%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62.5%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These are modeled memory savings grounded in current hybrid-cache constraints, not serving benchmarks. The screen motivated the question “is the missing abstraction broader than allocation?” Current systems already separate pools, so the idea evolved into state semantics/composability.</w:t>
      </w:r>
    </w:p>
    <w:p>
      <w:pPr>
        <w:pStyle w:val="Heading1"/>
      </w:pPr>
      <w:r>
        <w:t>D. vLLM hybrid-state gap harness details</w:t>
      </w:r>
    </w:p>
    <w:p>
      <w:r>
        <w:rPr>
          <w:rFonts w:ascii="Aptos" w:hAnsi="Aptos"/>
          <w:sz w:val="21"/>
        </w:rPr>
        <w:t>Pinned commit: e0705731be04aac90838f318fcdae15c56a53080. Source/runtime probes ran successfully. Upstream pytest did not because tblib was missing and returned code 4; discard that step.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Evidence class</w:t>
            </w:r>
          </w:p>
        </w:tc>
        <w:tc>
          <w:tcPr>
            <w:tcW w:type="dxa" w:w="64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Finding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coordinator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Multiple heterogeneous groups already reconciled with fixed-point logic.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Typed specs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KVCacheSpec subclasses already exist; “typed state” itself is not novel.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Runtime accepted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2/3/4 groups, mixed block sizes, no-full layouts, DCP Full+Mamba, EAGLE construction.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Runtime rejected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DCP Full+SlidingWindow: assertion restricts hybrid DCP to FullAttentionSpec/MambaSpec.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capability boundaries</w:t>
            </w:r>
          </w:p>
        </w:tc>
        <w:tc>
          <w:tcPr>
            <w:tcW w:type="dxa" w:w="64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Retention, transfer/HMA, DCP types, irregular grouping, speculative cache interaction, recovery paths still contain restrictions/special cases.</w:t>
            </w:r>
          </w:p>
        </w:tc>
      </w:tr>
    </w:tbl>
    <w:p>
      <w:pPr>
        <w:spacing w:after="20"/>
      </w:pPr>
    </w:p>
    <w:p>
      <w:pPr>
        <w:pStyle w:val="Heading1"/>
      </w:pPr>
      <w:r>
        <w:t>E. Reconstructability POC exact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Strict baseline reusable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Semantic reusable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Extra preserved / rebuilt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A: target 1024, ephemeral 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1024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1024 target tokens avoid re-prefill; ephemeral regenerates 1024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A: target 65536, ephemeral 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0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65536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65536 target tokens avoid re-prefill; ephemeral regenerates 65536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B: required 4096, reconstructable 1024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1024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4096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3072 required tokens preserved; 3072 reconstructable tokens catch up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B: required 65536, reconstructable 8192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8192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65536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57344 preserved; 57344 catch up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B: required 65536, reconstructable 49152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49152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65536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16384 preserved; 16384 catch up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All POC compile/tests and architecture-neutrality checks passed. Correct conclusion: one generic software contract can represent both logical opportunities. Incorrect conclusion: “real recurrent recovery is cheap” — that was never tested.</w:t>
      </w:r>
    </w:p>
    <w:p>
      <w:pPr>
        <w:pStyle w:val="Heading1"/>
      </w:pPr>
      <w:r>
        <w:t>F. Min-cost planner detailed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0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Statistic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Rows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324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Scenarios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Cost profiles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Distinct planner signatures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Mixed load+rebuild fraction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43.21%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Row-best simple exact-match fraction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86.73%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gain over row-best simple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p90 gain over row-best simple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2.35%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 gain over row-best simple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15.85%</w:t>
            </w:r>
          </w:p>
        </w:tc>
      </w:tr>
      <w:tr>
        <w:trPr>
          <w:cantSplit/>
        </w:trPr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 global fixed policy in sweep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always_load_external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The multi-state scenarios were the only ones with interesting planner gains (~14–16% peak). Simple 2-state cases often got no extra value. Because costs were chosen normalized ranges, the result cannot establish where real GPUs land. It only argues against immediately building a general planner.</w:t>
      </w:r>
    </w:p>
    <w:p>
      <w:pPr>
        <w:pStyle w:val="Heading1"/>
      </w:pPr>
      <w:r>
        <w:t>G. Qwen3.5 Mac experiment #1 detailed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8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Fact</w:t>
            </w:r>
          </w:p>
        </w:tc>
        <w:tc>
          <w:tcPr>
            <w:tcW w:type="dxa" w:w="46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Observed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Qwen/Qwen3.5-0.8B-Base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Execution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Apple MPS, FP16, Transformers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Layer mix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 total = 18 linear/recurrent + 6 full attention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Linear/recurrent cache bytes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~19.76 MiB total across tested contexts; ~1.10 MiB/layer; ~1× growth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Full-attention cache bytes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~3.15 MiB at 256 → ~25.17 MiB at 2048; 8× growth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Correctness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Harness marked correctness_ok=true</w:t>
            </w:r>
          </w:p>
        </w:tc>
      </w:tr>
      <w:tr>
        <w:trPr>
          <w:cantSplit/>
        </w:trP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Median time saved by 50% / 75% / 87.5% boundary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51.2% / 74.6% / 86.9%</w:t>
            </w:r>
          </w:p>
        </w:tc>
      </w:tr>
    </w:tbl>
    <w:p>
      <w:pPr>
        <w:spacing w:after="20"/>
      </w:pPr>
    </w:p>
    <w:p>
      <w:r>
        <w:rPr>
          <w:rFonts w:ascii="Aptos" w:hAnsi="Aptos"/>
          <w:sz w:val="21"/>
        </w:rPr>
        <w:t>Reference-kernel warning: causal_conv1d_fn and chunk_gated_delta_rule fell back to correct but much slower PyTorch implementations. This makes absolute timing non-representative of NVIDIA and can distort the relative recurrent-vs-attention cost mix.</w:t>
      </w:r>
    </w:p>
    <w:p>
      <w:pPr>
        <w:pStyle w:val="Heading1"/>
      </w:pPr>
      <w:r>
        <w:t>H. Qwen3.5 state-selective recovery v1.1 detailed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Value / interpretation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Context / boundary / suffix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512 / 384 / 128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Normal replay median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171.72 ms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Frozen full-KV median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206.66 ms; INVALID because semantics wrong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Frozen KV + K/V projection bypass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218.12 ms; INVALID because semantics wrong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 activation oracle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155.36 ms; 9.53% faster in this ONE case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Semantic recovery correctness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Max semantic logit diff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1.0554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Frozen full-attention KV unchanged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Naive skip control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incorrect as intended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K/V projection fraction of all linear weights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~0.84% structural proxy only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Harness screen signal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invalid_or_incorrect_poc_fix_before_interpreting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BEAE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A61C1C"/>
                <w:sz w:val="21"/>
              </w:rPr>
              <w:t>Why the 9.53% oracle is not decisive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Only one 512-token case, 128-token suffix, two timing repetitions, eager MPS execution, and slow reference recurrent kernels. Long-context attention cost scales differently, so oracle headroom might grow with context. A corrected sweep is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I. Fresh novelty-threat ledger for hybrid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38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Already solved / claimed</w:t>
            </w:r>
          </w:p>
        </w:tc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might remain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Sparse Prefix Caching (2605.05219)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Sparse recurrent checkpoints + exact suffix reconstruction.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Cross-feature composition or different recovery primitive, if not already covered.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vLLM #53041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Keep deeper Full KV while loading/recomputing lagging SWA/Mamba state.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Efficient implementation/correctness/decision policy may remain, but scoop risk high.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ReplaySSM #49232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Reconstruct state from checkpoint + recent SSM input history.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a narrower gap if our mechanism is fundamentally different.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vLLM #52959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Internal recurrent checkpoints inside forward.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Avoid claiming checkpoint placement/replay as new.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HYPIC 2607.01299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Hybrid-attention serving with transition operators / selective recomputation.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Must be read closely before asserting novelty.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Kimi K3/vLLM hybrid serving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Rich recurrent/full-attention cache semantics, partial hits, retention/transfer etc.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Any claim must be more specific than “heterogeneous state-aware serving.”</w:t>
            </w:r>
          </w:p>
        </w:tc>
      </w:tr>
    </w:tbl>
    <w:p>
      <w:pPr>
        <w:spacing w:after="20"/>
      </w:pPr>
    </w:p>
    <w:p>
      <w:pPr>
        <w:pStyle w:val="Heading1"/>
      </w:pPr>
      <w:r>
        <w:t>J. Collective-engine arbitration: dossier seed</w:t>
      </w:r>
    </w:p>
    <w:p>
      <w:r>
        <w:rPr>
          <w:rFonts w:ascii="Aptos" w:hAnsi="Aptos"/>
          <w:sz w:val="21"/>
        </w:rPr>
        <w:t>Candidate mechanism: choose between collective execution resources (e.g., SM-driven path, copy-engine/zero-SM path, or other offload path) based on the resource pressure of the concurrently executing compute kernel. This is a candidate only; no empirical or novelty verdict exists 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Attack</w:t>
            </w:r>
          </w:p>
        </w:tc>
        <w:tc>
          <w:tcPr>
            <w:tcW w:type="dxa" w:w="72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Question that must be answered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Novelty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current NCCL/tuner logic already incorporate live compute-kernel resource state?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Simplest solution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a static per-layer/per-model choice capture most benefit?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Oracle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With perfect resource-state knowledge, how much gain exists over default NCCL/tuner selection?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Correctness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 switching engines preserve ordering/progress semantics and avoid pathological contention?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Scale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the effect persist under multi-stream, multi-collective, TP/PP/DP and multi-node operation?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Feasibility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 a minimal NVIDIA microbenchmark measure CE-vs-SM crossover before a scheduler is built?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Scoop risk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NCCL 2.28 copy-engine/device API, tuner plugins and adjacent co-scheduling work may already be converging on it.</w:t>
            </w:r>
          </w:p>
        </w:tc>
      </w:tr>
    </w:tbl>
    <w:p>
      <w:pPr>
        <w:spacing w:after="20"/>
      </w:pPr>
    </w:p>
    <w:p>
      <w:pPr>
        <w:pStyle w:val="Heading1"/>
      </w:pPr>
      <w:r>
        <w:t>K. Next-session work queue, in priority order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Hybrid track: get a semantically correct divergent-state replay path. Treat any performance result as invalid until numerical/state equivalence passes.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Hybrid track: corrected oracle sweep at 512/1024/2048 (and longer if memory permits), boundaries 50/75/87.5%, 10–20 reps, randomized order.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Hybrid track: architecture-level FLOP/MAC model versus context and suffix length; estimate where full-attention work becomes a large fraction.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Hybrid track: line-by-line read of HYPIC, Sparse Prefix Caching, ReplaySSM, vLLM #53041/#52959/#55697 and Kimi K3/hybrid engineering. Produce exact “already solved” vs “remaining unknown” table.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Collective track: fresh two-pass literature/source dossier. Do not reuse only old searches.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Collective track: inspect NCCL 2.28+ docs/source/tuner interfaces and find whether live compute-state is an input to engine choice.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Collective track: define cheapest NVIDIA microbenchmark for eventual access: controlled SM-bound vs bandwidth-bound compute overlapped with CE/SM collective alternatives; predeclare crossover/GO thresholds.</w:t>
      </w:r>
    </w:p>
    <w:p>
      <w:pPr>
        <w:spacing w:after="40"/>
        <w:ind w:left="403" w:hanging="288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sz w:val="20"/>
        </w:rPr>
        <w:t>Only after both tracks have comparable evidence, select the thesis candidate.</w:t>
      </w:r>
    </w:p>
    <w:p>
      <w:pPr>
        <w:pStyle w:val="Heading1"/>
      </w:pPr>
      <w:r>
        <w:t>L. Artifact inventory</w:t>
      </w:r>
    </w:p>
    <w:p>
      <w:r>
        <w:rPr>
          <w:rFonts w:ascii="Aptos" w:hAnsi="Aptos"/>
          <w:b/>
          <w:sz w:val="21"/>
        </w:rPr>
        <w:t>gpu_efficiency_v2_results_bundle.zip:</w:t>
      </w:r>
      <w:r>
        <w:rPr>
          <w:rFonts w:ascii="Aptos" w:hAnsi="Aptos"/>
          <w:sz w:val="21"/>
        </w:rPr>
        <w:t xml:space="preserve"> V2.1 Mac empirical screens; use cautiously.</w:t>
      </w:r>
    </w:p>
    <w:p>
      <w:r>
        <w:rPr>
          <w:rFonts w:ascii="Aptos" w:hAnsi="Aptos"/>
          <w:b/>
          <w:sz w:val="21"/>
        </w:rPr>
        <w:t>gpu_efficiency_v2_2_results_bundle.zip:</w:t>
      </w:r>
      <w:r>
        <w:rPr>
          <w:rFonts w:ascii="Aptos" w:hAnsi="Aptos"/>
          <w:sz w:val="21"/>
        </w:rPr>
        <w:t xml:space="preserve"> Corrected network crossover + Alibaba trace elasticity + typed hybrid allocator screen.</w:t>
      </w:r>
    </w:p>
    <w:p>
      <w:r>
        <w:rPr>
          <w:rFonts w:ascii="Aptos" w:hAnsi="Aptos"/>
          <w:b/>
          <w:sz w:val="21"/>
        </w:rPr>
        <w:t>vllm_hybrid_state_gap_results_bundle.zip:</w:t>
      </w:r>
      <w:r>
        <w:rPr>
          <w:rFonts w:ascii="Aptos" w:hAnsi="Aptos"/>
          <w:sz w:val="21"/>
        </w:rPr>
        <w:t xml:space="preserve"> Pinned vLLM source/runtime composability evidence.</w:t>
      </w:r>
    </w:p>
    <w:p>
      <w:r>
        <w:rPr>
          <w:rFonts w:ascii="Aptos" w:hAnsi="Aptos"/>
          <w:b/>
          <w:sz w:val="21"/>
        </w:rPr>
        <w:t>vllm_reconstructability_poc_results_bundle.zip:</w:t>
      </w:r>
      <w:r>
        <w:rPr>
          <w:rFonts w:ascii="Aptos" w:hAnsi="Aptos"/>
          <w:sz w:val="21"/>
        </w:rPr>
        <w:t xml:space="preserve"> Generic REQUIRED/RECONSTRUCTABLE/EPHEMERAL POC and A/B results.</w:t>
      </w:r>
    </w:p>
    <w:p>
      <w:r>
        <w:rPr>
          <w:rFonts w:ascii="Aptos" w:hAnsi="Aptos"/>
          <w:b/>
          <w:sz w:val="21"/>
        </w:rPr>
        <w:t>consistent_state_planner_poc_results_bundle.zip:</w:t>
      </w:r>
      <w:r>
        <w:rPr>
          <w:rFonts w:ascii="Aptos" w:hAnsi="Aptos"/>
          <w:sz w:val="21"/>
        </w:rPr>
        <w:t xml:space="preserve"> 324-row normalized cost planner sensitivity study.</w:t>
      </w:r>
    </w:p>
    <w:p>
      <w:r>
        <w:rPr>
          <w:rFonts w:ascii="Aptos" w:hAnsi="Aptos"/>
          <w:b/>
          <w:sz w:val="21"/>
        </w:rPr>
        <w:t>mac_hybrid_selective_recovery_results_bundle.zip:</w:t>
      </w:r>
      <w:r>
        <w:rPr>
          <w:rFonts w:ascii="Aptos" w:hAnsi="Aptos"/>
          <w:sz w:val="21"/>
        </w:rPr>
        <w:t xml:space="preserve"> Valid Qwen3.5 MPS cached-suffix/cache-topology experiment.</w:t>
      </w:r>
    </w:p>
    <w:p>
      <w:r>
        <w:rPr>
          <w:rFonts w:ascii="Aptos" w:hAnsi="Aptos"/>
          <w:b/>
          <w:sz w:val="21"/>
        </w:rPr>
        <w:t>mac_state_selective_recovery_results_bundle.zip:</w:t>
      </w:r>
      <w:r>
        <w:rPr>
          <w:rFonts w:ascii="Aptos" w:hAnsi="Aptos"/>
          <w:sz w:val="21"/>
        </w:rPr>
        <w:t xml:space="preserve"> Latest state-selective recovery experiment; frozen-KV semantics invalid; oracle valid only for one quick case.</w:t>
      </w:r>
    </w:p>
    <w:p>
      <w:r>
        <w:rPr>
          <w:rFonts w:ascii="Aptos" w:hAnsi="Aptos"/>
          <w:b/>
          <w:sz w:val="21"/>
        </w:rPr>
        <w:t>mac_state_selective_recovery_fix_v1_2.zip:</w:t>
      </w:r>
      <w:r>
        <w:rPr>
          <w:rFonts w:ascii="Aptos" w:hAnsi="Aptos"/>
          <w:sz w:val="21"/>
        </w:rPr>
        <w:t xml:space="preserve"> Unrun explicit-mask compatibility fix prepared after v1.1; do not treat as tested.</w:t>
      </w:r>
    </w:p>
    <w:p>
      <w:pPr>
        <w:pStyle w:val="SmallNote"/>
      </w:pPr>
      <w:r>
        <w:rPr>
          <w:rFonts w:ascii="Aptos" w:hAnsi="Aptos"/>
          <w:sz w:val="18"/>
        </w:rPr>
        <w:t>The handoff ZIP includes the two DOCX files, a plain Markdown context file, a CSV artifact index, and the principal result bundles listed above.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