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7365D"/>
          <w:sz w:val="50"/>
        </w:rPr>
        <w:t>Master Research Handoff Dossier</w:t>
      </w:r>
    </w:p>
    <w:p>
      <w:pPr>
        <w:spacing w:after="280"/>
      </w:pPr>
      <w:r>
        <w:rPr>
          <w:rFonts w:ascii="Aptos" w:hAnsi="Aptos"/>
          <w:i/>
          <w:color w:val="666666"/>
          <w:sz w:val="22"/>
        </w:rPr>
        <w:t>GPU efficiency / AI infrastructure thesis search — complete context, decisions, evidence, and next actions</w:t>
      </w:r>
    </w:p>
    <w:p>
      <w:r>
        <w:rPr>
          <w:rFonts w:ascii="Aptos" w:hAnsi="Aptos"/>
          <w:color w:val="666666"/>
          <w:sz w:val="18"/>
        </w:rPr>
        <w:t>Handoff date: 16 September 2026  |  Scope: Master’s thesis / systems research ideation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0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How the next session should use this document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Treat this as the canonical context snapshot. Do not inherit any previous GO/KILL verdict blindly. Re-validate novelty with current literature and current upstream repos. Distinguish facts, interpretations, hypotheses, and invalidated experiments exactly as marked below.</w:t>
            </w:r>
          </w:p>
        </w:tc>
      </w:tr>
    </w:tbl>
    <w:p>
      <w:pPr>
        <w:spacing w:after="20"/>
      </w:pPr>
    </w:p>
    <w:p>
      <w:pPr>
        <w:pStyle w:val="Heading1"/>
      </w:pPr>
      <w:r>
        <w:t>1. User, objective, and constraints</w:t>
      </w:r>
    </w:p>
    <w:p>
      <w:r>
        <w:rPr>
          <w:rFonts w:ascii="Aptos" w:hAnsi="Aptos"/>
          <w:sz w:val="21"/>
        </w:rPr>
        <w:t>The user is selecting a master’s thesis/project in AI infrastructure and GPU systems. The target is work that is technically deep, publishable at a strong systems/ML-systems venue, useful as an open-source artifact, and relevant to frontier AI infrastructure roles. The user prefers hard infrastructure problems over superficial application ideas and wants aggressive adversarial review before committing.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Current hardware constraint: Apple Silicon MacBook (Apple M4, 16 GiB unified memory observed in the screening suite); no datacenter NVIDIA GPU access at present.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Preferred process: use the MacBook for cheap falsification, source inspection, real-model correctness tests, analytical/oracle studies, and CPU/MPS microbenchmarks; defer final CUDA/NCCL/HBM claims to NVIDIA hardware.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The user explicitly wants experiments/harnesses they can run locally and upload as result bundles.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Desired output: a thesis with a concrete system/mechanism, reproducible evaluation, strong baselines, measurable claim, open-source value, and career leverage in GPU/LLM infrastructure.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Writing preference: simple, terse, technical language; avoid hype and false certainty.</w:t>
      </w:r>
    </w:p>
    <w:p>
      <w:pPr>
        <w:pStyle w:val="Heading1"/>
      </w:pPr>
      <w:r>
        <w:t>2. Relevant background and why it matters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LinkedIn Systems &amp; Infrastructure internship (2026): built/validated a transparent, platform-level CRIU-based checkpoint/restore system for multi-GPU, cross-node ML training on Kubernetes. It preserved CPU process state plus live GPU state and addressed an estimated ~300,000 GPU-hours/year of recomputation across three fabrics. Reported recovery: 71.1 s versus 186.5 s framework checkpointing (~62% reduction).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SJSU research: reliable distributed ML infrastructure, resource-aware scheduling, and fault tolerance.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Personal project “north”: multi-agent orchestration, priority-aware inference routing/live model pools, append-only ledger, and per-agent recovery.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Relevant skills: CUDA, cuda-checkpoint, NCCL, PyTorch, distributed training, GPU scheduling.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This background initially made “state/recovery semantics” and “elastic GPU resource management” especially attractive thesis directions.</w:t>
      </w:r>
    </w:p>
    <w:p>
      <w:pPr>
        <w:pStyle w:val="Heading1"/>
      </w:pPr>
      <w:r>
        <w:t>3. Research method used</w:t>
      </w:r>
    </w:p>
    <w:p>
      <w:r>
        <w:rPr>
          <w:rFonts w:ascii="Aptos" w:hAnsi="Aptos"/>
          <w:sz w:val="21"/>
        </w:rPr>
        <w:t>The research-gap workflow intentionally optimizes for falsification, not idea preservation. Each candidate is attacked for novelty, adjacent work, combination/triviality, simplest baseline, scale effects, oracle headroom, correctness, feasibility, relevance, and scoop risk.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Build a current literature + production-system frontier map.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Generate candidate gaps from workload/system mismatches.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Adversarial review pass 1 and kill/reformulate aggressively.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Fresh targeted review pass 2 against the narrowed question.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Run the cheapest decisive experiment before large implementation.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sz w:val="20"/>
        </w:rPr>
        <w:t>Keep synthetic tests as screening only; move surviving claims to real models/runtimes/traces.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sz w:val="20"/>
        </w:rPr>
        <w:t>Use GO / PIVOT / MEASURE-FIRST / KILL explicitly, but revise those statuses when new evidence invalidates prior assumptions.</w:t>
      </w:r>
    </w:p>
    <w:p>
      <w:pPr>
        <w:pStyle w:val="Heading1"/>
      </w:pPr>
      <w:r>
        <w:t>4. Candidate map — current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4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Typed/heterogeneous model-state runtime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KILL as broad thesis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 vLLM already has typed KVCacheSpec classes, multiple cache groups, hybrid coordinators, mixed block sizes, and fixed-point prefix reconciliation. “Support 3+ groups” is not novel.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Required / reconstructable / ephemeral state contract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Useful mechanism, not thesis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source-pinned vLLM POC showed one architecture-neutral contract can express two opportunities, but this proves software expressibility, not model-state independence or performance.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General minimum-cost state planner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DEPRIORITIZE / PIVOT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324 normalized-cost cases produced many plan types, but the best simple per-row policy matched the planner in 86.7% of cases; median gain over row-best simple policy was 0%.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KV-aware selective recovery in hybrid LLMs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MEASURE-FIRST; not killed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Broad premise is plausible, but the latest selective-recovery POC was semantically incorrect for the KV-frozen paths, so its negative timings are invalid. Novelty is also threatened by fast-moving prior work.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Activation/intermediate-state assisted recovery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PIVOT candidate, low confidence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correct oracle that cached post-block activations gave ~9.5% at one tiny MPS case; too little data, biased environment, storage cost not yet characterized at scale.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Compute-state-aware collective engine arbitration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UNTESTED candidate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Interesting NVIDIA/NCCL systems idea. Must receive a fresh two-pass dossier before promotion; do not assume it is novel because hybrid-state work struggled.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Opportunistic heterogeneous elastic training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Backup / PIVOT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Production trace shows capacity windows exist, but GFS/DynaTrain/LiveR/Zorse crowd novelty. Surviving angle: temporary GPUs of different capability under uncertain lease duration and redistribution cost.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Network-adaptive overlap/granularity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DEPRIORITIZE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Mac crossover phenomenon is real, but Syncopate, REACT, PIPEMORPH and NCCL tuning make the thesis space crowded.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Activation residency / keep-recompute-offload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DEPRIORITIZE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Real trade-off exists, but PyTorch selective activation checkpointing/memory budget/DTR/related work crowd the broad question.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 sharing interference scheduling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KILL standalone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Real asymmetric interference observed on MPS, but the scheduling space is already crowded by systems such as Concord/STAO and related multi-tenant work.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Power-aware parallelism switching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UNTESTED / low priority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Earlier synthetic screen cannot support a conclusion; would require real NVIDIA measurements and novelty review.</w:t>
            </w:r>
          </w:p>
        </w:tc>
      </w:tr>
    </w:tbl>
    <w:p>
      <w:pPr>
        <w:spacing w:after="20"/>
      </w:pPr>
    </w:p>
    <w:p>
      <w:pPr>
        <w:pStyle w:val="Heading1"/>
      </w:pPr>
      <w:r>
        <w:t>5. Evolution of the hybrid-state research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Typed State Runtime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</w:t>
            </w:r>
            <w:r>
              <w:br/>
            </w:r>
            <w:r>
              <w:rPr>
                <w:rFonts w:ascii="Courier New" w:hAnsi="Courier New"/>
                <w:sz w:val="17"/>
              </w:rPr>
              <w:t>Reconstructability-Aware State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</w:t>
            </w:r>
            <w:r>
              <w:br/>
            </w:r>
            <w:r>
              <w:rPr>
                <w:rFonts w:ascii="Courier New" w:hAnsi="Courier New"/>
                <w:sz w:val="17"/>
              </w:rPr>
              <w:t>Minimum-Cost Consistent-State Planner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</w:t>
            </w:r>
            <w:r>
              <w:br/>
            </w:r>
            <w:r>
              <w:rPr>
                <w:rFonts w:ascii="Courier New" w:hAnsi="Courier New"/>
                <w:sz w:val="17"/>
              </w:rPr>
              <w:t>Planner mostly unnecessary under normalized-cost screen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</w:t>
            </w:r>
            <w:r>
              <w:br/>
            </w:r>
            <w:r>
              <w:rPr>
                <w:rFonts w:ascii="Courier New" w:hAnsi="Courier New"/>
                <w:sz w:val="17"/>
              </w:rPr>
              <w:t>Multi-State Selective Recovery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</w:t>
            </w:r>
            <w:r>
              <w:br/>
            </w:r>
            <w:r>
              <w:rPr>
                <w:rFonts w:ascii="Courier New" w:hAnsi="Courier New"/>
                <w:sz w:val="17"/>
              </w:rPr>
              <w:t>Real Qwen3.5 Mac tests expose inter-layer dependency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↓</w:t>
            </w:r>
            <w:r>
              <w:br/>
            </w:r>
            <w:r>
              <w:rPr>
                <w:rFonts w:ascii="Courier New" w:hAnsi="Courier New"/>
                <w:sz w:val="17"/>
              </w:rPr>
              <w:t>CURRENT: exact performance headroom still unresolved; novelty boundary is thin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The central lesson is that “different cache/state types exist” is not the gap. Current runtimes already know that. The possible remaining gap is only in how heterogeneous state recovery/reuse composes across features and whether divergent state boundaries can avoid meaningful recomputation in realistic hybrid + speculative models.</w:t>
      </w:r>
    </w:p>
    <w:p>
      <w:pPr>
        <w:pStyle w:val="Heading1"/>
      </w:pPr>
      <w:r>
        <w:t>6. Current vLLM frontier that killed the broad abstraction thesis</w:t>
      </w:r>
    </w:p>
    <w:p>
      <w:r>
        <w:rPr>
          <w:rFonts w:ascii="Aptos" w:hAnsi="Aptos"/>
          <w:sz w:val="21"/>
        </w:rPr>
        <w:t>The vLLM source-pinned harness ran against commit e0705731be04aac90838f318fcdae15c56a53080. Current HybridKVCacheCoordinator already supports multiple heterogeneous groups and fixed-point prefix reconciliation. Runtime construction accepted 2-group, 3-group, 4-group, no-full-attention, mixed-block-size, DCP full+Mamba, and EAGLE 3-group configurations. DCP full+SlidingWindow was explicitly rejected.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9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Runtime construction case</w:t>
            </w:r>
          </w:p>
        </w:tc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Full + Sliding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Full + Sliding + Mamba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Full + two Sliding variants + Mamba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Sliding + Mamba without Full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Full16 + Mamba64 mixed block sizes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DCP2 Full + Mamba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DCP2 Full + Sliding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Rejected: only FullAttentionSpec/MambaSpec supported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EAGLE + 3 groups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Accepted (construction only)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BEAE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A61C1C"/>
                <w:sz w:val="21"/>
              </w:rPr>
              <w:t>Important invalid step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The upstream hybrid pytest step in this harness did NOT execute successfully because tblib was missing. It returned code 4. Do not cite that pytest as evidence. The runtime/source probes did execute.</w:t>
            </w:r>
          </w:p>
        </w:tc>
      </w:tr>
    </w:tbl>
    <w:p>
      <w:pPr>
        <w:spacing w:after="20"/>
      </w:pPr>
    </w:p>
    <w:p>
      <w:pPr>
        <w:pStyle w:val="Heading1"/>
      </w:pPr>
      <w:r>
        <w:t>7. Evidence that heterogeneous-state semantics are a real runtime problem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#48455: ephemeral draft/speculative state can veto reusable target prefix state.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#53786: coarse/fine prefix-hit behavior of one group can constrain another group.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#54661: per-group retention RFC; evidence that global retention is a poor fit for heterogeneous state.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#47812: hybrid recovery after KV-load failure had single-group assumptions.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#55600: using global block geometry for Mamba/recurrent state can produce wrong state or illegal memory access; state-specific geometry is correctness-critical.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#49537: hybrid KV transfer / HMA integration boundary.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#51771: complex EAGLE/MTP + 3+ group coverage remains an active edge.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vLLM #55196 and #54106: FP8/recurrent memory pinning and irregular group-ratio issues.</w:t>
      </w:r>
    </w:p>
    <w:p>
      <w:pPr>
        <w:pStyle w:val="Heading1"/>
      </w:pPr>
      <w:r>
        <w:t>8. Reconstructability POC — what it proved and what it did not</w:t>
      </w:r>
    </w:p>
    <w:p>
      <w:r>
        <w:rPr>
          <w:rFonts w:ascii="Aptos" w:hAnsi="Aptos"/>
          <w:sz w:val="21"/>
        </w:rPr>
        <w:t>A patch against the same vLLM commit added a generic KVStateReuseMode = REQUIRED | RECONSTRUCTABLE | EPHEMERAL and an alternative find_reconstructable_cache_plan(). It intentionally did not alter the default path and contained no model-name branches.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Experiment</w:t>
            </w:r>
          </w:p>
        </w:tc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Representative case</w:t>
            </w:r>
          </w:p>
        </w:tc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Valid conclusion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A: ephemeral prefix veto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target hit 4096; ephemeral hit 0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Semantic plan reuses 4096 vs strict 0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generic state-role contract can express “ephemeral does not veto required state.”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B: partial recovery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hit 4096; reconstructable hit 1024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Semantic plan preserves 4096 required tokens; rebuilds 3072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The same contract can express a divergent logical recovery plan.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Compile/tests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 POC tests + architecture scan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Passed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Patch is architecture-neutral at the tested software-planning layer.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4D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5A00"/>
                <w:sz w:val="21"/>
              </w:rPr>
              <w:t>Do not over-interpret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This POC did NOT prove that recurrent state can be rebuilt independently in a real interleaved model, did NOT execute a Mamba catch-up kernel, and did NOT establish NVIDIA latency savings. It proved software composability/token accounting only.</w:t>
            </w:r>
          </w:p>
        </w:tc>
      </w:tr>
    </w:tbl>
    <w:p>
      <w:pPr>
        <w:spacing w:after="20"/>
      </w:pPr>
    </w:p>
    <w:p>
      <w:pPr>
        <w:pStyle w:val="Heading1"/>
      </w:pPr>
      <w:r>
        <w:t>9. Minimum-cost planner POC — why the general planner was deprioritized</w:t>
      </w:r>
    </w:p>
    <w:p>
      <w:r>
        <w:rPr>
          <w:rFonts w:ascii="Aptos" w:hAnsi="Aptos"/>
          <w:sz w:val="21"/>
        </w:rPr>
        <w:t>The planner sensitivity study evaluated 324 rows = 6 state-availability scenarios × 54 normalized cost profiles. It compared common-boundary, never-load, always-load, and per-state min-cost planning. Costs were deliberately normalized full-model-token-equivalent units; they were not GPU timings.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5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Observed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Distinct optimal planner signatures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Mixed load+rebuild rows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140 / 324 = 43.2%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Best simple policy exactly matches planner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281 / 324 = 86.7%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Median gain vs row-best simple policy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p90 gain vs row-best simple policy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2.35%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Maximum gain vs row-best simple policy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15.85%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Median gain vs one global fixed policy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Screen verdict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PIVOT_OR_MEASURE_ONE_REAL_PATH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Interpretation: non-trivial policy regions can be constructed, especially in 3/4-state cases, but a general planner is hard to justify because simple per-case policies capture most of the modeled benefit. The experiment itself is assumption-driven; it shows mathematical possibility, not that real hardware occupies those regions.</w:t>
      </w:r>
    </w:p>
    <w:p>
      <w:pPr>
        <w:pStyle w:val="Heading1"/>
      </w:pPr>
      <w:r>
        <w:t>10. Real Qwen3.5 Mac experiment #1 — valid structural signal</w:t>
      </w:r>
    </w:p>
    <w:p>
      <w:r>
        <w:rPr>
          <w:rFonts w:ascii="Aptos" w:hAnsi="Aptos"/>
          <w:sz w:val="21"/>
        </w:rPr>
        <w:t>Model: Qwen/Qwen3.5-0.8B-Base on Apple MPS, FP16. Model layout: 24 layers, 18 Gated DeltaNet / linear-attention-style layers and 6 full-attention layers. Transformers used slower reference implementations for causal_conv1d and chunk_gated_delta_rule because optimized packages were unavailable on this Mac.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17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Full prefill</w:t>
            </w:r>
          </w:p>
        </w:tc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50% boundary</w:t>
            </w:r>
          </w:p>
        </w:tc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75% boundary</w:t>
            </w:r>
          </w:p>
        </w:tc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87.5% boundary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256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0.3472 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0.1676 s (51.7% saved)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0.0887 s (74.5%)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0.0739 s (78.7%)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512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0.7065 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0.3325 s (52.9%)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0.1653 s (76.6%)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0.0929 s (86.9%)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1024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1.3415 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0.6651 s (50.4%)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0.3408 s (74.6%)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0.1693 s (87.4%)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2048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2.7487 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1.3558 s (50.7%)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0.6989 s (74.6%)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0.3605 s (86.9%)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1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Cache observation</w:t>
            </w:r>
          </w:p>
        </w:tc>
        <w:tc>
          <w:tcPr>
            <w:tcW w:type="dxa" w:w="33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Full-attention cache growth, 256→2048 tokens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8×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Linear/recurrent cache growth, 256→2048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1× (roughly constant)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Correctness summary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Passed under harness tolerance; many cases had zero max absolute logit diff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Median time saved across all tested boundaries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74.58%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4D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5A00"/>
                <w:sz w:val="21"/>
              </w:rPr>
              <w:t>What this actually proves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It proves heterogeneous state has different memory-growth behavior on a real hybrid model and that a later valid execution boundary avoids work. The timing is largely proportional to the amount of suffix work replayed, so it is NOT evidence that our proposed selective-recovery mechanism is special.</w:t>
            </w:r>
          </w:p>
        </w:tc>
      </w:tr>
    </w:tbl>
    <w:p>
      <w:pPr>
        <w:spacing w:after="20"/>
      </w:pPr>
    </w:p>
    <w:p>
      <w:pPr>
        <w:pStyle w:val="Heading1"/>
      </w:pPr>
      <w:r>
        <w:t>11. Real Qwen3.5 Mac experiment #2 — latest result is INVALID for KV-only performance</w:t>
      </w:r>
    </w:p>
    <w:p>
      <w:r>
        <w:rPr>
          <w:rFonts w:ascii="Aptos" w:hAnsi="Aptos"/>
          <w:sz w:val="21"/>
        </w:rPr>
        <w:t>The next POC tried to create divergent state boundaries: recurrent state only valid to K while full-attention K/V was already valid through N. It compared normal suffix replay, frozen full-KV replay, frozen KV plus bypassed K/V projections, an activation-output oracle, and an intentionally wrong “skip full blocks” control.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47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Quick-case result (context 512, boundary 384, suffix 128)</w:t>
            </w:r>
          </w:p>
        </w:tc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Correct?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Normal suffix replay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171.72 ms median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/ reference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Frozen full-KV replay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206.66 ms (-20.35%)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NO: max logit diff ~1.055; state diff large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Frozen KV + bypass K/V projections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218.12 ms (-27.02%)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NO: same semantic failure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Oracle: cached post-full-block outputs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155.36 ms (+9.53%)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in this one case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Naive identity skip full blocks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Expected negative control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Incorrect, as intended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1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Static structure fact</w:t>
            </w:r>
          </w:p>
        </w:tc>
        <w:tc>
          <w:tcPr>
            <w:tcW w:type="dxa" w:w="33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Total linear-weight elements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751,894,528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Full-attention K/V projection weight elements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6,291,456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K/V projection fraction of all linear weights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~0.84%</w:t>
            </w:r>
          </w:p>
        </w:tc>
      </w:tr>
      <w:tr>
        <w:trPr>
          <w:cantSplit/>
        </w:trPr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Full-attention layer indices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3, 7, 11, 15, 19, 23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BEAE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A61C1C"/>
                <w:sz w:val="21"/>
              </w:rPr>
              <w:t>Correct interpretation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The harness itself marked semantic_recovery_correct=false and screen_signal=invalid_or_incorrect_poc_fix_before_interpreting. Therefore the negative frozen-KV timings MUST NOT be used to kill the thesis. The 9.5% oracle is also insufficient to kill it: it is one 512-token case, 128-token suffix, only two timing reps, Apple MPS, eager attention, and unusually slow reference recurrent kernels.</w:t>
            </w:r>
          </w:p>
        </w:tc>
      </w:tr>
    </w:tbl>
    <w:p>
      <w:pPr>
        <w:spacing w:after="20"/>
      </w:pPr>
    </w:p>
    <w:p>
      <w:pPr>
        <w:pStyle w:val="Heading1"/>
      </w:pPr>
      <w:r>
        <w:t>12. Adversarial self-review — mistakes to avoid repeating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V1 GPU-efficiency suite was mostly synthetic/hard-coded and initially over-interpreted. All GO/KILL conclusions from that suite were withdrawn.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V2 network test initially structurally favored bulk sync because all strategies sent the same 64 MiB but differed mostly in message count and lacked true overlap. V2.2 corrected this.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V2 heterogeneous elasticity break-even used Mac CPU+MPS and showed implausible combined throughput (&gt; isolated sum by ~71% in a sample), so absolute break-even times were treated as hardware artifacts.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The reconstructability enum POC proved a planning abstraction, not real model-state independence.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The planner used normalized costs chosen by us; its percentages are sensitivity-study outputs, not hardware evidence.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sz w:val="20"/>
        </w:rPr>
        <w:t>The first real Mac cached-replay timing mostly demonstrated “less suffix work costs less,” a known caching principle.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sz w:val="20"/>
        </w:rPr>
        <w:t>The latest frozen-KV POC was semantically incorrect; its negative timings are invalid.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8.  </w:t>
      </w:r>
      <w:r>
        <w:rPr>
          <w:rFonts w:ascii="Aptos" w:hAnsi="Aptos"/>
          <w:sz w:val="20"/>
        </w:rPr>
        <w:t>The 9.5% activation oracle cannot be generalized from one short-context MPS case, especially because recurrent kernels were unoptimized and therefore relatively slow.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9.  </w:t>
      </w:r>
      <w:r>
        <w:rPr>
          <w:rFonts w:ascii="Aptos" w:hAnsi="Aptos"/>
          <w:sz w:val="20"/>
        </w:rPr>
        <w:t>Do not automatically promote the collective-engine candidate merely because the hybrid-state line is uncertain. It needs the same adversarial standard.</w:t>
      </w:r>
    </w:p>
    <w:p>
      <w:pPr>
        <w:pStyle w:val="Heading1"/>
      </w:pPr>
      <w:r>
        <w:t>13. Prior art / novelty threats for the surviving hybrid-state question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Work / source</w:t>
            </w:r>
          </w:p>
        </w:tc>
        <w:tc>
          <w:tcPr>
            <w:tcW w:type="dxa" w:w="65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Why it threatens novelty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Sparse Prefix Caching for Hybrid and Recurrent LLM Serving (arXiv:2605.05219)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Already formalizes sparse recurrent checkpoints and exact suffix recomputation.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 #53041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Explicitly proposes preserving deeper full-attention KV while loading/recomputing lagging SWA/Mamba state.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 ReplaySSM work (#49232)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Stores recent SSM inputs and reconstructs state rather than always materializing full recurrent state; strongly adjacent.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 internal/checkpoint work (#52959)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Adds recurrent-state checkpoints within forward execution; reduces extra whole-model splits.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 Kimi K3 hybrid-caching work / 2026 engineering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Already differentiates recurrent and full-attention state, partial hits, checkpoints, retention, transfer and copy-on-write.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HYPIC (arXiv:2607.01299)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Hybrid-attention serving system using transition operators / selective recomputation around full-attention boundaries; very close to broad “selectively recompute hybrid state” claims.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 #55697 Application-Directed Prefix Checkpoints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Fast-moving novelty threat for shared-prefix checkpoint placement and scheduling.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 #53670 / #53504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Production/issue evidence that hybrid + speculative cache-boundary interactions can cause substantial replay, but upstream is actively fixing the area.</w:t>
            </w:r>
          </w:p>
        </w:tc>
      </w:tr>
    </w:tbl>
    <w:p>
      <w:pPr>
        <w:spacing w:after="20"/>
      </w:pPr>
    </w:p>
    <w:p>
      <w:pPr>
        <w:pStyle w:val="Heading1"/>
      </w:pPr>
      <w:r>
        <w:t>14. Exact current hybrid-state question and uncertainty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0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Current narrow question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Given a hybrid model with interleaved full-attention and recurrent/linear-attention layers, and a state divergence where full-attention KV is valid deeper than recurrent state, can a correct recovery path exploit that divergence to reduce meaningful compute at realistic context lengths — beyond what existing sparse checkpoints / ReplaySSM / hybrid serving systems already provide?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Current confidence: low-to-medium on performance opportunity, low on novelty until closest work is read line-by-line. The broad typed-state thesis is dead; the narrow performance mechanism is not yet killed. A final thesis should not be selected from this line until both performance headroom and novelty survive.</w:t>
      </w:r>
    </w:p>
    <w:p>
      <w:pPr>
        <w:pStyle w:val="Heading1"/>
      </w:pPr>
      <w:r>
        <w:t>15. Next Mac-only work for the hybrid-state line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Fix the state-selective recovery harness so the divergent-state replay is numerically correct. The next run must not be interpreted if semantic_recovery_correct=false.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Run the correct oracle across at least contexts 512, 1024, 2048 and recovery boundaries 50%, 75%, 87.5%. Use ~10–20 repetitions per method and randomize method order to reduce thermal/order bias.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Build an analytical FLOP/MAC model as a function of prefix length, suffix length, layer layout, hidden dimensions, full-attention fraction and recurrent fraction. Compare normal suffix replay, K/V projection elimination, full-attention-block elimination, and recurrent-only idealization.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Test whether oracle headroom grows with context length. A flat ~10% curve would weaken the idea; a growing curve (e.g., ~10% → ~20% → ~30%+) would justify later NVIDIA validation.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Separately re-read HYPIC, Sparse Prefix Caching, ReplaySSM, and current vLLM hybrid work to define an exact sentence that is not already answered.</w:t>
      </w:r>
    </w:p>
    <w:p>
      <w:pPr>
        <w:pStyle w:val="Heading1"/>
      </w:pPr>
      <w:r>
        <w:t>16. Parallel track: Compute-State-Aware Collective Engine Arbitration</w:t>
      </w:r>
    </w:p>
    <w:p>
      <w:r>
        <w:rPr>
          <w:rFonts w:ascii="Aptos" w:hAnsi="Aptos"/>
          <w:sz w:val="21"/>
        </w:rPr>
        <w:t>This candidate should now be investigated in parallel, but it is NOT yet validated. The idea is to select the communication execution engine based not only on message/topology size, but also on the live resource pressure of the concurrently running compute kernel.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Example hypothesis: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>Compute kernel is SM-bound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→ SM-driven collective steals scarce SM issue/occupancy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→ prefer copy-engine / offloaded communication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>Compute kernel is memory-bandwidth-bound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→ copy-engine traffic may intensify bandwidth contention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→ an SM-driven communication path may be better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>Runtime policy chooses the engine based on live compute state.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Why now: NCCL 2.28 introduced/expanded device API and copy-engine collectives / zero-SM paths, giving software more choice over which GPU resources communication consumes. However, NCCL already has algorithm/protocol selection, dynamic scheduling, topology models, and tuner plugins. Therefore the exact gap must be proven, not assumed.</w:t>
      </w:r>
    </w:p>
    <w:p>
      <w:pPr>
        <w:pStyle w:val="Heading1"/>
      </w:pPr>
      <w:r>
        <w:t>17. Fresh adversarial dossier required for collective-engine arbitration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Prior-art sweep: NCCL 2.28+ copy-engine collectives/device API, tuner plugins, cost model, algorithm/protocol selection, NVLink/NVSwitch behavior, network offload, compute-communication co-scheduling.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Closest systems/papers: search for dynamic SM allocation to collectives, copy-engine vs SM communication, communication kernel resource isolation, adaptive collective algorithms under compute contention, overlap schedulers, GPU kernel co-scheduling.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Exact novelty attack: determine whether any public system already uses the LIVE resource profile of the concurrent compute kernel (SM occupancy, memory-bandwidth pressure, tensor-core issue, cache pressure) to select communication execution engine.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Simplest-solution attack: test whether a static per-model/per-layer engine choice captures nearly all gain. If yes, dynamic policy is unnecessary.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Oracle attack: with perfect knowledge of compute resource pressure, how much headroom exists over NCCL’s default/tuner choice? This ultimately requires NVIDIA hardware, but Mac-side analytical modeling/source inspection can narrow the question.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sz w:val="20"/>
        </w:rPr>
        <w:t>Scale attack: multi-stream concurrency, multiple collectives, TP/PP/DP, multi-node networks, queueing, and whether hardware network offload makes engine arbitration irrelevant.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sz w:val="20"/>
        </w:rPr>
        <w:t>Define GO/PIVOT/KILL BEFORE building a scheduler.</w:t>
      </w:r>
    </w:p>
    <w:p>
      <w:pPr>
        <w:pStyle w:val="Heading1"/>
      </w:pPr>
      <w:r>
        <w:t>18. Other GPU-efficiency screens already performed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47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Current interpretation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Activation residency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Real PyTorch/MPS keep/recompute/offload screen; keep was fastest at tested sizes, no local crossover.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Broad question crowded; not selected.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Network overlap/granularity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V2.2 corrected test: 15 conditions; fine-overlap won 6, bulk-sync 6, coarse-overlap 3; median winner advantage ~2.9%.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Phenomenon real but novelty crowded by Syncopate/REACT/PIPEMORPH/NCCL tuning.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Heterogeneous elastic training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Alibaba 2026 spot-GPU trace: spare &gt;=4-GPU windows often exceed measured few-second reconfiguration costs; H800 median window ~7610 s, A100-80G ~305.5 s, GPU-series-2 ~382 s.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Opportunity exists; allocatability is only an upper bound; novelty crowded by GFS/DynaTrain/LiveR/Zorse.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Typed hybrid allocator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Modeled memory savings: irregular 2-type median ~36.4%; 3-type ~39.8%; FP8+recurrent ~50.3%, but separate pools already exist.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Led to hybrid-state composability work; allocator alone not novel.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GPU sharing interference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MPS separate-process screen: compute-heavy throughput ~-3.7%; bandwidth-heavy ~-57.9% under colocation; combined normalized throughput ~1.384.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Real interference, but scheduling thesis crowded.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Power-aware parallelism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Only earlier synthetic screen; no trustworthy empirical conclusion.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Low priority / untested.</w:t>
            </w:r>
          </w:p>
        </w:tc>
      </w:tr>
    </w:tbl>
    <w:p>
      <w:pPr>
        <w:spacing w:after="20"/>
      </w:pPr>
    </w:p>
    <w:p>
      <w:pPr>
        <w:pStyle w:val="Heading1"/>
      </w:pPr>
      <w:r>
        <w:t>19. Hardware/evidence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Can be done credibly on Mac</w:t>
            </w:r>
          </w:p>
        </w:tc>
        <w:tc>
          <w:tcPr>
            <w:tcW w:type="dxa" w:w="46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Requires NVIDIA / cluster for final claim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Source/repo capability checks; unit/correctness tests; abstraction POCs; real small-model MPS execution; cache/state topology; analytical FLOP models; trace analysis; normalized oracle screens.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NCCL engine behavior; SM vs copy-engine contention; HBM/PCIe/NVLink/RDMA costs; CUDA kernel overlap; production vLLM throughput/TTFT; multi-GPU/multi-node scaling; exact H100/H200/B200 resource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20. Instructions to the next 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5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693D"/>
                <w:sz w:val="21"/>
              </w:rPr>
              <w:t>Do these first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1) Read this entire dossier. 2) Treat current statuses as hypotheses, not truth. 3) Continue BOTH tracks in parallel: corrected long-context Mac falsification for hybrid-state recovery, and a fresh adversarial dossier for collective-engine arbitration. 4) Do not choose a thesis until one candidate survives novelty + simple-baseline + oracle + feasibility gates.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ptos" w:hAnsi="Aptos"/>
          <w:sz w:val="20"/>
        </w:rPr>
        <w:t>Never cite the invalid frozen-KV timings as negative evidence.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Never cite V1 synthetic results as empirical evidence.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Never describe the general planner as “validated”; it was a normalized sensitivity screen.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Never claim the hybrid-state idea is novel without comparing directly against Sparse Prefix Caching, HYPIC, ReplaySSM, vLLM #53041/#52959/#55697 and current Kimi K3/hybrid work.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Never claim collective-engine arbitration is the strongest idea until it receives the same two-pass adversarial treatment.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Preserve all failed experiments in the eventual thesis dossier because they explain why the final research question is narrow.</w:t>
      </w:r>
    </w:p>
    <w:p>
      <w:pPr>
        <w:pStyle w:val="Heading1"/>
      </w:pPr>
      <w:r>
        <w:t>21. Key source URLs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3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61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URL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Hybrid KV Cache Manager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https://docs.vllm.ai/en/latest/design/hybrid_kv_cache_manager/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HybridKVCacheCoordinator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https://github.com/vllm-project/vllm/blob/main/vllm/v1/core/kv_cache_coordinator.py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KVCacheSpec interface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https://github.com/vllm-project/vllm/blob/main/vllm/v1/kv_cache_interface.py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#48455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https://github.com/vllm-project/vllm/issues/48455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#53041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https://github.com/vllm-project/vllm/issues/53041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#47812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https://github.com/vllm-project/vllm/issues/47812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#55600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https://github.com/vllm-project/vllm/issues/55600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#54661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https://github.com/vllm-project/vllm/issues/54661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#53786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https://github.com/vllm-project/vllm/issues/53786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#55697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https://github.com/vllm-project/vllm/issues/55697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#49232 ReplaySSM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https://github.com/vllm-project/vllm/issues/49232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vLLM #52959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https://github.com/vllm-project/vllm/issues/52959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Sparse Prefix Caching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https://arxiv.org/abs/2605.05219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HYPIC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https://arxiv.org/abs/2607.01299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Qwen3.5-0.8B-Base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https://huggingface.co/Qwen/Qwen3.5-0.8B-Base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Transformers Qwen3.5 implementation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https://github.com/huggingface/transformers/blob/main/src/transformers/models/qwen3_5/modeling_qwen3_5.py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Alibaba 2026 spot-GPU trace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https://github.com/alibaba/clusterdata/tree/master/cluster-trace-v2026-spot-gpu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NCCL 2.28 device API / copy-engine collectives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https://developer.nvidia.com/blog/fusing-communication-and-compute-with-new-device-api-and-copy-engine-collectives-in-nvidia-nccl-2-28/</w:t>
            </w:r>
          </w:p>
        </w:tc>
      </w:tr>
    </w:tbl>
    <w:p>
      <w:pPr>
        <w:spacing w:after="20"/>
      </w:pPr>
    </w:p>
    <w:p>
      <w:pPr>
        <w:pStyle w:val="Heading1"/>
      </w:pPr>
      <w:r>
        <w:t>22. Canonical result/artifact files to preserve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8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56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 / warning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gpu_efficiency_v2_results_bundle.zip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V2.1 Mac empirical screens; use cautiously.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gpu_efficiency_v2_2_results_bundle.zip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Corrected network crossover + Alibaba trace elasticity + typed hybrid allocator screen.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vllm_hybrid_state_gap_results_bundle.zip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Pinned vLLM source/runtime composability evidence.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vllm_reconstructability_poc_results_bundle.zip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Generic REQUIRED/RECONSTRUCTABLE/EPHEMERAL POC and A/B results.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consistent_state_planner_poc_results_bundle.zip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324-row normalized cost planner sensitivity study.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mac_hybrid_selective_recovery_results_bundle.zip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Valid Qwen3.5 MPS cached-suffix/cache-topology experiment.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mac_state_selective_recovery_results_bundle.zip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Latest state-selective recovery experiment; frozen-KV semantics invalid; oracle valid only for one quick case.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mac_state_selective_recovery_fix_v1_2.zip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Unrun explicit-mask compatibility fix prepared after v1.1; do not treat as tested.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Aptos" w:hAnsi="Aptos"/>
          <w:sz w:val="18"/>
        </w:rPr>
        <w:t>End of master handoff. The companion Experiment &amp; Evidence Ledger contains more exact test-by-test details and raw-data interpretation rules.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