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Stateful Elastic Inference for Hybrid LLMs</w:t>
      </w:r>
    </w:p>
    <w:p>
      <w:pPr>
        <w:spacing w:after="120"/>
      </w:pPr>
      <w:r>
        <w:rPr>
          <w:b/>
        </w:rPr>
        <w:t>Master’s Thesis Research Dossier — current status after three validation iterations</w:t>
      </w:r>
    </w:p>
    <w:p>
      <w:pPr>
        <w:pStyle w:val="Heading1"/>
      </w:pPr>
      <w:r>
        <w:t>1. Executive summary</w:t>
      </w:r>
    </w:p>
    <w:p>
      <w:r>
        <w:t>Hybrid LLMs combine attention with recurrent components such as Mamba/SSM or Gated DeltaNet. Their inference state is different from a normal Transformer: attention KV grows with context and is mostly append-only, while recurrent state is fixed-size but updated every token. This changes the live-migration problem.</w:t>
      </w:r>
    </w:p>
    <w:p>
      <w:r>
        <w:t>Transformer request migration is already well studied. Hybrid-state transfer also exists for prefill/decode disaggregation. The remaining thesis opportunity is not “can state be copied?” It is whether a serving system can move many actively decoding hybrid sessions between GPUs—and eventually across model-parallel topologies—while preserving correctness and keeping user-visible interruption bounded.</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shd w:fill="F2F2F2"/>
            <w:vAlign w:val="center"/>
            <w:tcMar>
              <w:top w:w="70" w:type="dxa"/>
              <w:start w:w="85" w:type="dxa"/>
              <w:bottom w:w="70" w:type="dxa"/>
              <w:end w:w="85" w:type="dxa"/>
            </w:tcMar>
          </w:tcPr>
          <w:p>
            <w:pPr>
              <w:spacing w:after="0"/>
            </w:pPr>
            <w:r>
              <w:rPr>
                <w:rFonts w:ascii="Arial" w:hAnsi="Arial"/>
                <w:b/>
                <w:sz w:val="18"/>
              </w:rPr>
              <w:t>Current decision</w:t>
            </w:r>
          </w:p>
        </w:tc>
        <w:tc>
          <w:tcPr>
            <w:tcW w:type="dxa" w:w="7848"/>
            <w:shd w:fill="F2F2F2"/>
            <w:vAlign w:val="center"/>
            <w:tcMar>
              <w:top w:w="70" w:type="dxa"/>
              <w:start w:w="85" w:type="dxa"/>
              <w:bottom w:w="70" w:type="dxa"/>
              <w:end w:w="85" w:type="dxa"/>
            </w:tcMar>
          </w:tcPr>
          <w:p>
            <w:pPr>
              <w:spacing w:after="0"/>
            </w:pPr>
            <w:r>
              <w:rPr>
                <w:rFonts w:ascii="Arial" w:hAnsi="Arial"/>
                <w:b/>
                <w:sz w:val="18"/>
              </w:rPr>
              <w:t>Meaning</w:t>
            </w:r>
          </w:p>
        </w:tc>
      </w:tr>
      <w:tr>
        <w:tc>
          <w:tcPr>
            <w:tcW w:type="dxa" w:w="2376"/>
            <w:vAlign w:val="center"/>
            <w:tcMar>
              <w:top w:w="70" w:type="dxa"/>
              <w:start w:w="85" w:type="dxa"/>
              <w:bottom w:w="70" w:type="dxa"/>
              <w:end w:w="85" w:type="dxa"/>
            </w:tcMar>
          </w:tcPr>
          <w:p>
            <w:pPr>
              <w:spacing w:after="0"/>
            </w:pPr>
            <w:r>
              <w:rPr>
                <w:rFonts w:ascii="Arial" w:hAnsi="Arial"/>
                <w:sz w:val="18"/>
              </w:rPr>
              <w:t>GO, narrowed scope</w:t>
            </w:r>
          </w:p>
        </w:tc>
        <w:tc>
          <w:tcPr>
            <w:tcW w:type="dxa" w:w="7848"/>
            <w:vAlign w:val="center"/>
            <w:tcMar>
              <w:top w:w="70" w:type="dxa"/>
              <w:start w:w="85" w:type="dxa"/>
              <w:bottom w:w="70" w:type="dxa"/>
              <w:end w:w="85" w:type="dxa"/>
            </w:tcMar>
          </w:tcPr>
          <w:p>
            <w:pPr>
              <w:spacing w:after="0"/>
            </w:pPr>
            <w:r>
              <w:rPr>
                <w:rFonts w:ascii="Arial" w:hAnsi="Arial"/>
                <w:sz w:val="18"/>
              </w:rPr>
              <w:t>Proceed with Idea 1; do not base novelty on single-session recurrent-state copy cost.</w:t>
            </w:r>
          </w:p>
        </w:tc>
      </w:tr>
      <w:tr>
        <w:tc>
          <w:tcPr>
            <w:tcW w:type="dxa" w:w="2376"/>
            <w:vAlign w:val="center"/>
            <w:tcMar>
              <w:top w:w="70" w:type="dxa"/>
              <w:start w:w="85" w:type="dxa"/>
              <w:bottom w:w="70" w:type="dxa"/>
              <w:end w:w="85" w:type="dxa"/>
            </w:tcMar>
          </w:tcPr>
          <w:p>
            <w:pPr>
              <w:spacing w:after="0"/>
            </w:pPr>
            <w:r>
              <w:rPr>
                <w:rFonts w:ascii="Arial" w:hAnsi="Arial"/>
                <w:sz w:val="18"/>
              </w:rPr>
              <w:t>Primary thesis target</w:t>
            </w:r>
          </w:p>
        </w:tc>
        <w:tc>
          <w:tcPr>
            <w:tcW w:type="dxa" w:w="7848"/>
            <w:vAlign w:val="center"/>
            <w:tcMar>
              <w:top w:w="70" w:type="dxa"/>
              <w:start w:w="85" w:type="dxa"/>
              <w:bottom w:w="70" w:type="dxa"/>
              <w:end w:w="85" w:type="dxa"/>
            </w:tcMar>
          </w:tcPr>
          <w:p>
            <w:pPr>
              <w:spacing w:after="0"/>
            </w:pPr>
            <w:r>
              <w:rPr>
                <w:rFonts w:ascii="Arial" w:hAnsi="Arial"/>
                <w:sz w:val="18"/>
              </w:rPr>
              <w:t>Live migration of many active hybrid sessions with exact/controlled cutover and bounded SLO impact.</w:t>
            </w:r>
          </w:p>
        </w:tc>
      </w:tr>
      <w:tr>
        <w:tc>
          <w:tcPr>
            <w:tcW w:type="dxa" w:w="2376"/>
            <w:vAlign w:val="center"/>
            <w:tcMar>
              <w:top w:w="70" w:type="dxa"/>
              <w:start w:w="85" w:type="dxa"/>
              <w:bottom w:w="70" w:type="dxa"/>
              <w:end w:w="85" w:type="dxa"/>
            </w:tcMar>
          </w:tcPr>
          <w:p>
            <w:pPr>
              <w:spacing w:after="0"/>
            </w:pPr>
            <w:r>
              <w:rPr>
                <w:rFonts w:ascii="Arial" w:hAnsi="Arial"/>
                <w:sz w:val="18"/>
              </w:rPr>
              <w:t>Stretch target</w:t>
            </w:r>
          </w:p>
        </w:tc>
        <w:tc>
          <w:tcPr>
            <w:tcW w:type="dxa" w:w="7848"/>
            <w:vAlign w:val="center"/>
            <w:tcMar>
              <w:top w:w="70" w:type="dxa"/>
              <w:start w:w="85" w:type="dxa"/>
              <w:bottom w:w="70" w:type="dxa"/>
              <w:end w:w="85" w:type="dxa"/>
            </w:tcMar>
          </w:tcPr>
          <w:p>
            <w:pPr>
              <w:spacing w:after="0"/>
            </w:pPr>
            <w:r>
              <w:rPr>
                <w:rFonts w:ascii="Arial" w:hAnsi="Arial"/>
                <w:sz w:val="18"/>
              </w:rPr>
              <w:t>Migration across different TP/topology layouts while the source continues decoding.</w:t>
            </w:r>
          </w:p>
        </w:tc>
      </w:tr>
      <w:tr>
        <w:tc>
          <w:tcPr>
            <w:tcW w:type="dxa" w:w="2376"/>
            <w:vAlign w:val="center"/>
            <w:tcMar>
              <w:top w:w="70" w:type="dxa"/>
              <w:start w:w="85" w:type="dxa"/>
              <w:bottom w:w="70" w:type="dxa"/>
              <w:end w:w="85" w:type="dxa"/>
            </w:tcMar>
          </w:tcPr>
          <w:p>
            <w:pPr>
              <w:spacing w:after="0"/>
            </w:pPr>
            <w:r>
              <w:rPr>
                <w:rFonts w:ascii="Arial" w:hAnsi="Arial"/>
                <w:sz w:val="18"/>
              </w:rPr>
              <w:t>Next gate</w:t>
            </w:r>
          </w:p>
        </w:tc>
        <w:tc>
          <w:tcPr>
            <w:tcW w:type="dxa" w:w="7848"/>
            <w:vAlign w:val="center"/>
            <w:tcMar>
              <w:top w:w="70" w:type="dxa"/>
              <w:start w:w="85" w:type="dxa"/>
              <w:bottom w:w="70" w:type="dxa"/>
              <w:end w:w="85" w:type="dxa"/>
            </w:tcMar>
          </w:tcPr>
          <w:p>
            <w:pPr>
              <w:spacing w:after="0"/>
            </w:pPr>
            <w:r>
              <w:rPr>
                <w:rFonts w:ascii="Arial" w:hAnsi="Arial"/>
                <w:sz w:val="18"/>
              </w:rPr>
              <w:t>Fresh novelty scan + real 2+ NVIDIA GPU POC.</w:t>
            </w:r>
          </w:p>
        </w:tc>
      </w:tr>
    </w:tbl>
    <w:p>
      <w:pPr>
        <w:spacing w:after="0"/>
      </w:pPr>
    </w:p>
    <w:p>
      <w:pPr>
        <w:pStyle w:val="Heading1"/>
      </w:pPr>
      <w:r>
        <w:t>2. Research question</w:t>
      </w:r>
    </w:p>
    <w:p>
      <w:r>
        <w:t>Primary research question:</w:t>
      </w:r>
    </w:p>
    <w:p>
      <w:pPr>
        <w:ind w:left="360" w:right="216"/>
      </w:pPr>
      <w:r>
        <w:rPr>
          <w:b/>
        </w:rPr>
        <w:t>Can a serving system live-migrate many actively decoding hybrid LLM sessions across GPU replicas with bounded interruption and exact continuation by separating append-only attention KV from continuously changing recurrent state?</w:t>
      </w:r>
    </w:p>
    <w:p>
      <w:r>
        <w:t>Stretch question: Can the same mechanism support migration across different model-parallel configurations (for example TP1 → TP2 or TP2 → TP4) without full prompt replay?</w:t>
      </w:r>
    </w:p>
    <w:p>
      <w:r>
        <w:t>The important change from the original idea is scale. Our Mac experiments show that one request’s recurrent state may be small enough to copy quickly on a datacenter fabric. The research value must therefore come from correct ownership transfer, aggregate migration pressure, network/admission control, SLO impact, and/or topology conversion—not from the existence of mutable state alone.</w:t>
      </w:r>
    </w:p>
    <w:p>
      <w:pPr>
        <w:pStyle w:val="Heading1"/>
      </w:pPr>
      <w:r>
        <w:t>3. Background in simple language</w:t>
      </w:r>
    </w:p>
    <w:p>
      <w:pPr>
        <w:pStyle w:val="Heading2"/>
      </w:pPr>
      <w:r>
        <w:t>3.1 Why Transformer live migration is easier</w:t>
      </w:r>
    </w:p>
    <w:p>
      <w:r>
        <w:t>During Transformer decoding, old KV entries normally stay unchanged and new token KV is appended. Llumnix exploits this property: copy old KV while decoding continues, then briefly pause to copy the small remaining tail and switch execution to the destination [1]. Pallas similarly separates stable history from an evolving suffix and prepares the destination proactively [2].</w:t>
      </w:r>
    </w:p>
    <w:p>
      <w:pPr>
        <w:pStyle w:val="Heading2"/>
      </w:pPr>
      <w:r>
        <w:t>3.2 Why hybrid models are different</w:t>
      </w:r>
    </w:p>
    <w:p>
      <w:r>
        <w:t>Hybrid models mix attention layers with recurrent layers. A recurrent layer compresses the sequence history into a fixed-size state. That state is updated every decode step. In vLLM’s hybrid SSM support, Mamba state contains a convolution state plus an SSM temporal state; vLLM already transfers these states for disaggregated prefill/decode serving [4].</w:t>
      </w:r>
    </w:p>
    <w:p>
      <w:r>
        <w:t>So the problem is not that hybrid state cannot move. It can. The harder question is live ownership transfer while the source is still decoding, especially when many requests move together or the destination uses a different parallel layout.</w:t>
      </w:r>
    </w:p>
    <w:p>
      <w:pPr>
        <w:pStyle w:val="Heading2"/>
      </w:pPr>
      <w:r>
        <w:t>3.3 Why migration matters in an inference cluster</w:t>
      </w:r>
    </w:p>
    <w:p>
      <w:pPr>
        <w:pStyle w:val="CompactBullet"/>
      </w:pPr>
      <w:r>
        <w:t>Load balancing: move long-lived sessions away from overloaded replicas.</w:t>
      </w:r>
    </w:p>
    <w:p>
      <w:pPr>
        <w:pStyle w:val="CompactBullet"/>
      </w:pPr>
      <w:r>
        <w:t>Elasticity: consolidate sessions before scaling GPUs down; redistribute after scale-up.</w:t>
      </w:r>
    </w:p>
    <w:p>
      <w:pPr>
        <w:pStyle w:val="CompactBullet"/>
      </w:pPr>
      <w:r>
        <w:t>Node draining and maintenance: evacuate active sessions without replaying long prompts.</w:t>
      </w:r>
    </w:p>
    <w:p>
      <w:pPr>
        <w:pStyle w:val="CompactBullet"/>
      </w:pPr>
      <w:r>
        <w:t>Failures / degraded devices: move recoverable sessions before or after a fault boundary.</w:t>
      </w:r>
    </w:p>
    <w:p>
      <w:pPr>
        <w:pStyle w:val="CompactBullet"/>
      </w:pPr>
      <w:r>
        <w:t>Topology changes: alter TP/PP configuration as workload characteristics change.</w:t>
      </w:r>
    </w:p>
    <w:p>
      <w:pPr>
        <w:pStyle w:val="CompactBullet"/>
      </w:pPr>
      <w:r>
        <w:t>Heterogeneous clusters: move sessions to a different GPU placement while preserving expensive inference state.</w:t>
      </w:r>
    </w:p>
    <w:p>
      <w:pPr>
        <w:pStyle w:val="Heading1"/>
      </w:pPr>
      <w:r>
        <w:t>4. What existing research already solves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shd w:fill="F2F2F2"/>
            <w:vAlign w:val="center"/>
            <w:tcMar>
              <w:top w:w="70" w:type="dxa"/>
              <w:start w:w="85" w:type="dxa"/>
              <w:bottom w:w="70" w:type="dxa"/>
              <w:end w:w="85" w:type="dxa"/>
            </w:tcMar>
          </w:tcPr>
          <w:p>
            <w:pPr>
              <w:spacing w:after="0"/>
            </w:pPr>
            <w:r>
              <w:rPr>
                <w:rFonts w:ascii="Arial" w:hAnsi="Arial"/>
                <w:b/>
                <w:sz w:val="17"/>
              </w:rPr>
              <w:t>System / work</w:t>
            </w:r>
          </w:p>
        </w:tc>
        <w:tc>
          <w:tcPr>
            <w:tcW w:type="dxa" w:w="3816"/>
            <w:shd w:fill="F2F2F2"/>
            <w:vAlign w:val="center"/>
            <w:tcMar>
              <w:top w:w="70" w:type="dxa"/>
              <w:start w:w="85" w:type="dxa"/>
              <w:bottom w:w="70" w:type="dxa"/>
              <w:end w:w="85" w:type="dxa"/>
            </w:tcMar>
          </w:tcPr>
          <w:p>
            <w:pPr>
              <w:spacing w:after="0"/>
            </w:pPr>
            <w:r>
              <w:rPr>
                <w:rFonts w:ascii="Arial" w:hAnsi="Arial"/>
                <w:b/>
                <w:sz w:val="17"/>
              </w:rPr>
              <w:t>What it already establishes</w:t>
            </w:r>
          </w:p>
        </w:tc>
        <w:tc>
          <w:tcPr>
            <w:tcW w:type="dxa" w:w="4464"/>
            <w:shd w:fill="F2F2F2"/>
            <w:vAlign w:val="center"/>
            <w:tcMar>
              <w:top w:w="70" w:type="dxa"/>
              <w:start w:w="85" w:type="dxa"/>
              <w:bottom w:w="70" w:type="dxa"/>
              <w:end w:w="85" w:type="dxa"/>
            </w:tcMar>
          </w:tcPr>
          <w:p>
            <w:pPr>
              <w:spacing w:after="0"/>
            </w:pPr>
            <w:r>
              <w:rPr>
                <w:rFonts w:ascii="Arial" w:hAnsi="Arial"/>
                <w:b/>
                <w:sz w:val="17"/>
              </w:rPr>
              <w:t>What it does not clearly answer for us</w:t>
            </w:r>
          </w:p>
        </w:tc>
      </w:tr>
      <w:tr>
        <w:tc>
          <w:tcPr>
            <w:tcW w:type="dxa" w:w="1944"/>
            <w:vAlign w:val="center"/>
            <w:tcMar>
              <w:top w:w="70" w:type="dxa"/>
              <w:start w:w="85" w:type="dxa"/>
              <w:bottom w:w="70" w:type="dxa"/>
              <w:end w:w="85" w:type="dxa"/>
            </w:tcMar>
          </w:tcPr>
          <w:p>
            <w:pPr>
              <w:spacing w:after="0"/>
            </w:pPr>
            <w:r>
              <w:rPr>
                <w:rFonts w:ascii="Arial" w:hAnsi="Arial"/>
                <w:sz w:val="17"/>
              </w:rPr>
              <w:t>Llumnix (OSDI 2024) [1]</w:t>
            </w:r>
          </w:p>
        </w:tc>
        <w:tc>
          <w:tcPr>
            <w:tcW w:type="dxa" w:w="3816"/>
            <w:vAlign w:val="center"/>
            <w:tcMar>
              <w:top w:w="70" w:type="dxa"/>
              <w:start w:w="85" w:type="dxa"/>
              <w:bottom w:w="70" w:type="dxa"/>
              <w:end w:w="85" w:type="dxa"/>
            </w:tcMar>
          </w:tcPr>
          <w:p>
            <w:pPr>
              <w:spacing w:after="0"/>
            </w:pPr>
            <w:r>
              <w:rPr>
                <w:rFonts w:ascii="Arial" w:hAnsi="Arial"/>
                <w:sz w:val="17"/>
              </w:rPr>
              <w:t>Live migration of active Transformer requests; overlaps append-only KV copying with decoding.</w:t>
            </w:r>
          </w:p>
        </w:tc>
        <w:tc>
          <w:tcPr>
            <w:tcW w:type="dxa" w:w="4464"/>
            <w:vAlign w:val="center"/>
            <w:tcMar>
              <w:top w:w="70" w:type="dxa"/>
              <w:start w:w="85" w:type="dxa"/>
              <w:bottom w:w="70" w:type="dxa"/>
              <w:end w:w="85" w:type="dxa"/>
            </w:tcMar>
          </w:tcPr>
          <w:p>
            <w:pPr>
              <w:spacing w:after="0"/>
            </w:pPr>
            <w:r>
              <w:rPr>
                <w:rFonts w:ascii="Arial" w:hAnsi="Arial"/>
                <w:sz w:val="17"/>
              </w:rPr>
              <w:t>Hybrid recurrent state that mutates every token; hybrid topology conversion.</w:t>
            </w:r>
          </w:p>
        </w:tc>
      </w:tr>
      <w:tr>
        <w:tc>
          <w:tcPr>
            <w:tcW w:type="dxa" w:w="1944"/>
            <w:vAlign w:val="center"/>
            <w:tcMar>
              <w:top w:w="70" w:type="dxa"/>
              <w:start w:w="85" w:type="dxa"/>
              <w:bottom w:w="70" w:type="dxa"/>
              <w:end w:w="85" w:type="dxa"/>
            </w:tcMar>
          </w:tcPr>
          <w:p>
            <w:pPr>
              <w:spacing w:after="0"/>
            </w:pPr>
            <w:r>
              <w:rPr>
                <w:rFonts w:ascii="Arial" w:hAnsi="Arial"/>
                <w:sz w:val="17"/>
              </w:rPr>
              <w:t>Pallas (2026) [2]</w:t>
            </w:r>
          </w:p>
        </w:tc>
        <w:tc>
          <w:tcPr>
            <w:tcW w:type="dxa" w:w="3816"/>
            <w:vAlign w:val="center"/>
            <w:tcMar>
              <w:top w:w="70" w:type="dxa"/>
              <w:start w:w="85" w:type="dxa"/>
              <w:bottom w:w="70" w:type="dxa"/>
              <w:end w:w="85" w:type="dxa"/>
            </w:tcMar>
          </w:tcPr>
          <w:p>
            <w:pPr>
              <w:spacing w:after="0"/>
            </w:pPr>
            <w:r>
              <w:rPr>
                <w:rFonts w:ascii="Arial" w:hAnsi="Arial"/>
                <w:sz w:val="17"/>
              </w:rPr>
              <w:t>Proactive KV migration while source inference continues; stable prefix + evolving suffix.</w:t>
            </w:r>
          </w:p>
        </w:tc>
        <w:tc>
          <w:tcPr>
            <w:tcW w:type="dxa" w:w="4464"/>
            <w:vAlign w:val="center"/>
            <w:tcMar>
              <w:top w:w="70" w:type="dxa"/>
              <w:start w:w="85" w:type="dxa"/>
              <w:bottom w:w="70" w:type="dxa"/>
              <w:end w:w="85" w:type="dxa"/>
            </w:tcMar>
          </w:tcPr>
          <w:p>
            <w:pPr>
              <w:spacing w:after="0"/>
            </w:pPr>
            <w:r>
              <w:rPr>
                <w:rFonts w:ascii="Arial" w:hAnsi="Arial"/>
                <w:sz w:val="17"/>
              </w:rPr>
              <w:t>Mutable recurrent state and ownership consistency for hybrid models.</w:t>
            </w:r>
          </w:p>
        </w:tc>
      </w:tr>
      <w:tr>
        <w:tc>
          <w:tcPr>
            <w:tcW w:type="dxa" w:w="1944"/>
            <w:vAlign w:val="center"/>
            <w:tcMar>
              <w:top w:w="70" w:type="dxa"/>
              <w:start w:w="85" w:type="dxa"/>
              <w:bottom w:w="70" w:type="dxa"/>
              <w:end w:w="85" w:type="dxa"/>
            </w:tcMar>
          </w:tcPr>
          <w:p>
            <w:pPr>
              <w:spacing w:after="0"/>
            </w:pPr>
            <w:r>
              <w:rPr>
                <w:rFonts w:ascii="Arial" w:hAnsi="Arial"/>
                <w:sz w:val="17"/>
              </w:rPr>
              <w:t>ReMP (2026) [3]</w:t>
            </w:r>
          </w:p>
        </w:tc>
        <w:tc>
          <w:tcPr>
            <w:tcW w:type="dxa" w:w="3816"/>
            <w:vAlign w:val="center"/>
            <w:tcMar>
              <w:top w:w="70" w:type="dxa"/>
              <w:start w:w="85" w:type="dxa"/>
              <w:bottom w:w="70" w:type="dxa"/>
              <w:end w:w="85" w:type="dxa"/>
            </w:tcMar>
          </w:tcPr>
          <w:p>
            <w:pPr>
              <w:spacing w:after="0"/>
            </w:pPr>
            <w:r>
              <w:rPr>
                <w:rFonts w:ascii="Arial" w:hAnsi="Arial"/>
                <w:sz w:val="17"/>
              </w:rPr>
              <w:t>Runtime TP/PP reconfiguration with 2-D KV migration; most tested switches in ~1–7 s.</w:t>
            </w:r>
          </w:p>
        </w:tc>
        <w:tc>
          <w:tcPr>
            <w:tcW w:type="dxa" w:w="4464"/>
            <w:vAlign w:val="center"/>
            <w:tcMar>
              <w:top w:w="70" w:type="dxa"/>
              <w:start w:w="85" w:type="dxa"/>
              <w:bottom w:w="70" w:type="dxa"/>
              <w:end w:w="85" w:type="dxa"/>
            </w:tcMar>
          </w:tcPr>
          <w:p>
            <w:pPr>
              <w:spacing w:after="0"/>
            </w:pPr>
            <w:r>
              <w:rPr>
                <w:rFonts w:ascii="Arial" w:hAnsi="Arial"/>
                <w:sz w:val="17"/>
              </w:rPr>
              <w:t>Active hybrid recurrent state during topology change.</w:t>
            </w:r>
          </w:p>
        </w:tc>
      </w:tr>
      <w:tr>
        <w:tc>
          <w:tcPr>
            <w:tcW w:type="dxa" w:w="1944"/>
            <w:vAlign w:val="center"/>
            <w:tcMar>
              <w:top w:w="70" w:type="dxa"/>
              <w:start w:w="85" w:type="dxa"/>
              <w:bottom w:w="70" w:type="dxa"/>
              <w:end w:w="85" w:type="dxa"/>
            </w:tcMar>
          </w:tcPr>
          <w:p>
            <w:pPr>
              <w:spacing w:after="0"/>
            </w:pPr>
            <w:r>
              <w:rPr>
                <w:rFonts w:ascii="Arial" w:hAnsi="Arial"/>
                <w:sz w:val="17"/>
              </w:rPr>
              <w:t>vLLM hybrid SSM disaggregation (2026) [4]</w:t>
            </w:r>
          </w:p>
        </w:tc>
        <w:tc>
          <w:tcPr>
            <w:tcW w:type="dxa" w:w="3816"/>
            <w:vAlign w:val="center"/>
            <w:tcMar>
              <w:top w:w="70" w:type="dxa"/>
              <w:start w:w="85" w:type="dxa"/>
              <w:bottom w:w="70" w:type="dxa"/>
              <w:end w:w="85" w:type="dxa"/>
            </w:tcMar>
          </w:tcPr>
          <w:p>
            <w:pPr>
              <w:spacing w:after="0"/>
            </w:pPr>
            <w:r>
              <w:rPr>
                <w:rFonts w:ascii="Arial" w:hAnsi="Arial"/>
                <w:sz w:val="17"/>
              </w:rPr>
              <w:t>Transfers attention + Mamba state; supports heterogeneous TP in P/D transfer using NIXL descriptors.</w:t>
            </w:r>
          </w:p>
        </w:tc>
        <w:tc>
          <w:tcPr>
            <w:tcW w:type="dxa" w:w="4464"/>
            <w:vAlign w:val="center"/>
            <w:tcMar>
              <w:top w:w="70" w:type="dxa"/>
              <w:start w:w="85" w:type="dxa"/>
              <w:bottom w:w="70" w:type="dxa"/>
              <w:end w:w="85" w:type="dxa"/>
            </w:tcMar>
          </w:tcPr>
          <w:p>
            <w:pPr>
              <w:spacing w:after="0"/>
            </w:pPr>
            <w:r>
              <w:rPr>
                <w:rFonts w:ascii="Arial" w:hAnsi="Arial"/>
                <w:sz w:val="17"/>
              </w:rPr>
              <w:t>Live decode-owner migration of an already-running session.</w:t>
            </w:r>
          </w:p>
        </w:tc>
      </w:tr>
      <w:tr>
        <w:tc>
          <w:tcPr>
            <w:tcW w:type="dxa" w:w="1944"/>
            <w:vAlign w:val="center"/>
            <w:tcMar>
              <w:top w:w="70" w:type="dxa"/>
              <w:start w:w="85" w:type="dxa"/>
              <w:bottom w:w="70" w:type="dxa"/>
              <w:end w:w="85" w:type="dxa"/>
            </w:tcMar>
          </w:tcPr>
          <w:p>
            <w:pPr>
              <w:spacing w:after="0"/>
            </w:pPr>
            <w:r>
              <w:rPr>
                <w:rFonts w:ascii="Arial" w:hAnsi="Arial"/>
                <w:sz w:val="17"/>
              </w:rPr>
              <w:t>WorldMove (2026) [5]</w:t>
            </w:r>
          </w:p>
        </w:tc>
        <w:tc>
          <w:tcPr>
            <w:tcW w:type="dxa" w:w="3816"/>
            <w:vAlign w:val="center"/>
            <w:tcMar>
              <w:top w:w="70" w:type="dxa"/>
              <w:start w:w="85" w:type="dxa"/>
              <w:bottom w:w="70" w:type="dxa"/>
              <w:end w:w="85" w:type="dxa"/>
            </w:tcMar>
          </w:tcPr>
          <w:p>
            <w:pPr>
              <w:spacing w:after="0"/>
            </w:pPr>
            <w:r>
              <w:rPr>
                <w:rFonts w:ascii="Arial" w:hAnsi="Arial"/>
                <w:sz w:val="17"/>
              </w:rPr>
              <w:t>Bit-exact live migration of heavily rewritten multi-GB world-model state; introduces fabric/admission issues.</w:t>
            </w:r>
          </w:p>
        </w:tc>
        <w:tc>
          <w:tcPr>
            <w:tcW w:type="dxa" w:w="4464"/>
            <w:vAlign w:val="center"/>
            <w:tcMar>
              <w:top w:w="70" w:type="dxa"/>
              <w:start w:w="85" w:type="dxa"/>
              <w:bottom w:w="70" w:type="dxa"/>
              <w:end w:w="85" w:type="dxa"/>
            </w:tcMar>
          </w:tcPr>
          <w:p>
            <w:pPr>
              <w:spacing w:after="0"/>
            </w:pPr>
            <w:r>
              <w:rPr>
                <w:rFonts w:ascii="Arial" w:hAnsi="Arial"/>
                <w:sz w:val="17"/>
              </w:rPr>
              <w:t>LLM-specific mixed KV + recurrent semantics and model-parallel serving.</w:t>
            </w:r>
          </w:p>
        </w:tc>
      </w:tr>
      <w:tr>
        <w:tc>
          <w:tcPr>
            <w:tcW w:type="dxa" w:w="1944"/>
            <w:vAlign w:val="center"/>
            <w:tcMar>
              <w:top w:w="70" w:type="dxa"/>
              <w:start w:w="85" w:type="dxa"/>
              <w:bottom w:w="70" w:type="dxa"/>
              <w:end w:w="85" w:type="dxa"/>
            </w:tcMar>
          </w:tcPr>
          <w:p>
            <w:pPr>
              <w:spacing w:after="0"/>
            </w:pPr>
            <w:r>
              <w:rPr>
                <w:rFonts w:ascii="Arial" w:hAnsi="Arial"/>
                <w:sz w:val="17"/>
              </w:rPr>
              <w:t>ReplaySSM (2026) [6]</w:t>
            </w:r>
          </w:p>
        </w:tc>
        <w:tc>
          <w:tcPr>
            <w:tcW w:type="dxa" w:w="3816"/>
            <w:vAlign w:val="center"/>
            <w:tcMar>
              <w:top w:w="70" w:type="dxa"/>
              <w:start w:w="85" w:type="dxa"/>
              <w:bottom w:w="70" w:type="dxa"/>
              <w:end w:w="85" w:type="dxa"/>
            </w:tcMar>
          </w:tcPr>
          <w:p>
            <w:pPr>
              <w:spacing w:after="0"/>
            </w:pPr>
            <w:r>
              <w:rPr>
                <w:rFonts w:ascii="Arial" w:hAnsi="Arial"/>
                <w:sz w:val="17"/>
              </w:rPr>
              <w:t>Caches recent SSM inputs and reconstructs state; makes many decode steps effectively read-mostly.</w:t>
            </w:r>
          </w:p>
        </w:tc>
        <w:tc>
          <w:tcPr>
            <w:tcW w:type="dxa" w:w="4464"/>
            <w:vAlign w:val="center"/>
            <w:tcMar>
              <w:top w:w="70" w:type="dxa"/>
              <w:start w:w="85" w:type="dxa"/>
              <w:bottom w:w="70" w:type="dxa"/>
              <w:end w:w="85" w:type="dxa"/>
            </w:tcMar>
          </w:tcPr>
          <w:p>
            <w:pPr>
              <w:spacing w:after="0"/>
            </w:pPr>
            <w:r>
              <w:rPr>
                <w:rFonts w:ascii="Arial" w:hAnsi="Arial"/>
                <w:sz w:val="17"/>
              </w:rPr>
              <w:t>End-to-end live session migration and multi-session/topology migration.</w:t>
            </w:r>
          </w:p>
        </w:tc>
      </w:tr>
    </w:tbl>
    <w:p>
      <w:pPr>
        <w:spacing w:after="0"/>
      </w:pPr>
    </w:p>
    <w:p>
      <w:r>
        <w:t>Public-gap statement, stated cautiously: as of this scan, we did not find a public system that combines active decode, hybrid attention+recurrent state, correct owner cutover, many-session migration pressure, and model-parallel topology changes. This must be re-checked immediately before thesis commitment because the area is moving quickly.</w:t>
      </w:r>
    </w:p>
    <w:p>
      <w:pPr>
        <w:pStyle w:val="Heading1"/>
      </w:pPr>
      <w:r>
        <w:t>5. What is novel—and what is not</w:t>
      </w:r>
    </w:p>
    <w:tbl>
      <w:tblPr>
        <w:tblStyle w:val="TableGrid"/>
        <w:tblW w:type="auto" w:w="0"/>
        <w:jc w:val="center"/>
        <w:tblLayout w:type="fixed"/>
        <w:tblLook w:firstColumn="1" w:firstRow="1" w:lastColumn="0" w:lastRow="0" w:noHBand="0" w:noVBand="1" w:val="04A0"/>
      </w:tblPr>
      <w:tblGrid>
        <w:gridCol w:w="5083"/>
        <w:gridCol w:w="5083"/>
      </w:tblGrid>
      <w:tr>
        <w:tc>
          <w:tcPr>
            <w:tcW w:type="dxa" w:w="3168"/>
            <w:shd w:fill="F2F2F2"/>
            <w:vAlign w:val="center"/>
            <w:tcMar>
              <w:top w:w="70" w:type="dxa"/>
              <w:start w:w="85" w:type="dxa"/>
              <w:bottom w:w="70" w:type="dxa"/>
              <w:end w:w="85" w:type="dxa"/>
            </w:tcMar>
          </w:tcPr>
          <w:p>
            <w:pPr>
              <w:spacing w:after="0"/>
            </w:pPr>
            <w:r>
              <w:rPr>
                <w:rFonts w:ascii="Arial" w:hAnsi="Arial"/>
                <w:b/>
                <w:sz w:val="18"/>
              </w:rPr>
              <w:t>Do not claim</w:t>
            </w:r>
          </w:p>
        </w:tc>
        <w:tc>
          <w:tcPr>
            <w:tcW w:type="dxa" w:w="7056"/>
            <w:shd w:fill="F2F2F2"/>
            <w:vAlign w:val="center"/>
            <w:tcMar>
              <w:top w:w="70" w:type="dxa"/>
              <w:start w:w="85" w:type="dxa"/>
              <w:bottom w:w="70" w:type="dxa"/>
              <w:end w:w="85" w:type="dxa"/>
            </w:tcMar>
          </w:tcPr>
          <w:p>
            <w:pPr>
              <w:spacing w:after="0"/>
            </w:pPr>
            <w:r>
              <w:rPr>
                <w:rFonts w:ascii="Arial" w:hAnsi="Arial"/>
                <w:b/>
                <w:sz w:val="18"/>
              </w:rPr>
              <w:t>Potentially defensible contribution</w:t>
            </w:r>
          </w:p>
        </w:tc>
      </w:tr>
      <w:tr>
        <w:tc>
          <w:tcPr>
            <w:tcW w:type="dxa" w:w="3168"/>
            <w:vAlign w:val="center"/>
            <w:tcMar>
              <w:top w:w="70" w:type="dxa"/>
              <w:start w:w="85" w:type="dxa"/>
              <w:bottom w:w="70" w:type="dxa"/>
              <w:end w:w="85" w:type="dxa"/>
            </w:tcMar>
          </w:tcPr>
          <w:p>
            <w:pPr>
              <w:spacing w:after="0"/>
            </w:pPr>
            <w:r>
              <w:rPr>
                <w:rFonts w:ascii="Arial" w:hAnsi="Arial"/>
                <w:sz w:val="18"/>
              </w:rPr>
              <w:t>“LLM live migration”</w:t>
            </w:r>
          </w:p>
        </w:tc>
        <w:tc>
          <w:tcPr>
            <w:tcW w:type="dxa" w:w="7056"/>
            <w:vAlign w:val="center"/>
            <w:tcMar>
              <w:top w:w="70" w:type="dxa"/>
              <w:start w:w="85" w:type="dxa"/>
              <w:bottom w:w="70" w:type="dxa"/>
              <w:end w:w="85" w:type="dxa"/>
            </w:tcMar>
          </w:tcPr>
          <w:p>
            <w:pPr>
              <w:spacing w:after="0"/>
            </w:pPr>
            <w:r>
              <w:rPr>
                <w:rFonts w:ascii="Arial" w:hAnsi="Arial"/>
                <w:sz w:val="18"/>
              </w:rPr>
              <w:t>Already done for Transformer requests.</w:t>
            </w:r>
          </w:p>
        </w:tc>
      </w:tr>
      <w:tr>
        <w:tc>
          <w:tcPr>
            <w:tcW w:type="dxa" w:w="3168"/>
            <w:vAlign w:val="center"/>
            <w:tcMar>
              <w:top w:w="70" w:type="dxa"/>
              <w:start w:w="85" w:type="dxa"/>
              <w:bottom w:w="70" w:type="dxa"/>
              <w:end w:w="85" w:type="dxa"/>
            </w:tcMar>
          </w:tcPr>
          <w:p>
            <w:pPr>
              <w:spacing w:after="0"/>
            </w:pPr>
            <w:r>
              <w:rPr>
                <w:rFonts w:ascii="Arial" w:hAnsi="Arial"/>
                <w:sz w:val="18"/>
              </w:rPr>
              <w:t>“Transfer Mamba/SSM state”</w:t>
            </w:r>
          </w:p>
        </w:tc>
        <w:tc>
          <w:tcPr>
            <w:tcW w:type="dxa" w:w="7056"/>
            <w:vAlign w:val="center"/>
            <w:tcMar>
              <w:top w:w="70" w:type="dxa"/>
              <w:start w:w="85" w:type="dxa"/>
              <w:bottom w:w="70" w:type="dxa"/>
              <w:end w:w="85" w:type="dxa"/>
            </w:tcMar>
          </w:tcPr>
          <w:p>
            <w:pPr>
              <w:spacing w:after="0"/>
            </w:pPr>
            <w:r>
              <w:rPr>
                <w:rFonts w:ascii="Arial" w:hAnsi="Arial"/>
                <w:sz w:val="18"/>
              </w:rPr>
              <w:t>Already done in vLLM P/D disaggregation.</w:t>
            </w:r>
          </w:p>
        </w:tc>
      </w:tr>
      <w:tr>
        <w:tc>
          <w:tcPr>
            <w:tcW w:type="dxa" w:w="3168"/>
            <w:vAlign w:val="center"/>
            <w:tcMar>
              <w:top w:w="70" w:type="dxa"/>
              <w:start w:w="85" w:type="dxa"/>
              <w:bottom w:w="70" w:type="dxa"/>
              <w:end w:w="85" w:type="dxa"/>
            </w:tcMar>
          </w:tcPr>
          <w:p>
            <w:pPr>
              <w:spacing w:after="0"/>
            </w:pPr>
            <w:r>
              <w:rPr>
                <w:rFonts w:ascii="Arial" w:hAnsi="Arial"/>
                <w:sz w:val="18"/>
              </w:rPr>
              <w:t>“Migrate mutable GPU state”</w:t>
            </w:r>
          </w:p>
        </w:tc>
        <w:tc>
          <w:tcPr>
            <w:tcW w:type="dxa" w:w="7056"/>
            <w:vAlign w:val="center"/>
            <w:tcMar>
              <w:top w:w="70" w:type="dxa"/>
              <w:start w:w="85" w:type="dxa"/>
              <w:bottom w:w="70" w:type="dxa"/>
              <w:end w:w="85" w:type="dxa"/>
            </w:tcMar>
          </w:tcPr>
          <w:p>
            <w:pPr>
              <w:spacing w:after="0"/>
            </w:pPr>
            <w:r>
              <w:rPr>
                <w:rFonts w:ascii="Arial" w:hAnsi="Arial"/>
                <w:sz w:val="18"/>
              </w:rPr>
              <w:t>WorldMove already shows this in another model class.</w:t>
            </w:r>
          </w:p>
        </w:tc>
      </w:tr>
      <w:tr>
        <w:tc>
          <w:tcPr>
            <w:tcW w:type="dxa" w:w="3168"/>
            <w:vAlign w:val="center"/>
            <w:tcMar>
              <w:top w:w="70" w:type="dxa"/>
              <w:start w:w="85" w:type="dxa"/>
              <w:bottom w:w="70" w:type="dxa"/>
              <w:end w:w="85" w:type="dxa"/>
            </w:tcMar>
          </w:tcPr>
          <w:p>
            <w:pPr>
              <w:spacing w:after="0"/>
            </w:pPr>
            <w:r>
              <w:rPr>
                <w:rFonts w:ascii="Arial" w:hAnsi="Arial"/>
                <w:sz w:val="18"/>
              </w:rPr>
              <w:t>“Topology reconfiguration”</w:t>
            </w:r>
          </w:p>
        </w:tc>
        <w:tc>
          <w:tcPr>
            <w:tcW w:type="dxa" w:w="7056"/>
            <w:vAlign w:val="center"/>
            <w:tcMar>
              <w:top w:w="70" w:type="dxa"/>
              <w:start w:w="85" w:type="dxa"/>
              <w:bottom w:w="70" w:type="dxa"/>
              <w:end w:w="85" w:type="dxa"/>
            </w:tcMar>
          </w:tcPr>
          <w:p>
            <w:pPr>
              <w:spacing w:after="0"/>
            </w:pPr>
            <w:r>
              <w:rPr>
                <w:rFonts w:ascii="Arial" w:hAnsi="Arial"/>
                <w:sz w:val="18"/>
              </w:rPr>
              <w:t>ReMP already changes TP/PP for Transformer serving.</w:t>
            </w:r>
          </w:p>
        </w:tc>
      </w:tr>
      <w:tr>
        <w:tc>
          <w:tcPr>
            <w:tcW w:type="dxa" w:w="3168"/>
            <w:vAlign w:val="center"/>
            <w:tcMar>
              <w:top w:w="70" w:type="dxa"/>
              <w:start w:w="85" w:type="dxa"/>
              <w:bottom w:w="70" w:type="dxa"/>
              <w:end w:w="85" w:type="dxa"/>
            </w:tcMar>
          </w:tcPr>
          <w:p>
            <w:pPr>
              <w:spacing w:after="0"/>
            </w:pPr>
            <w:r>
              <w:rPr>
                <w:rFonts w:ascii="Arial" w:hAnsi="Arial"/>
                <w:sz w:val="18"/>
              </w:rPr>
              <w:t>Our actual target</w:t>
            </w:r>
          </w:p>
        </w:tc>
        <w:tc>
          <w:tcPr>
            <w:tcW w:type="dxa" w:w="7056"/>
            <w:vAlign w:val="center"/>
            <w:tcMar>
              <w:top w:w="70" w:type="dxa"/>
              <w:start w:w="85" w:type="dxa"/>
              <w:bottom w:w="70" w:type="dxa"/>
              <w:end w:w="85" w:type="dxa"/>
            </w:tcMar>
          </w:tcPr>
          <w:p>
            <w:pPr>
              <w:spacing w:after="0"/>
            </w:pPr>
            <w:r>
              <w:rPr>
                <w:rFonts w:ascii="Arial" w:hAnsi="Arial"/>
                <w:sz w:val="18"/>
              </w:rPr>
              <w:t>A hybrid-LLM live-migration protocol + scheduler that preserves mixed append-only and mutable state under active decode, scales to many sessions, and optionally reshards state across topology changes.</w:t>
            </w:r>
          </w:p>
        </w:tc>
      </w:tr>
    </w:tbl>
    <w:p>
      <w:pPr>
        <w:spacing w:after="0"/>
      </w:pPr>
    </w:p>
    <w:p>
      <w:pPr>
        <w:pStyle w:val="Heading1"/>
      </w:pPr>
      <w:r>
        <w:t>6. Core hypothesis</w:t>
      </w:r>
    </w:p>
    <w:p>
      <w:r>
        <w:t>Most migration bytes can be moved off the critical path: old attention KV can be copied while decoding continues, while the latest recurrent state is small and can be synchronized at a controlled token boundary. The difficult production problem appears when many sessions migrate together, when transfer traffic competes with serving traffic, or when the destination uses a different state layout/topology.</w:t>
      </w:r>
    </w:p>
    <w:p>
      <w:r>
        <w:t>A successful system should therefore combine:</w:t>
      </w:r>
    </w:p>
    <w:p>
      <w:pPr>
        <w:pStyle w:val="CompactBullet"/>
      </w:pPr>
      <w:r>
        <w:t>state classification: stable/append-only vs mutable/replayable;</w:t>
      </w:r>
    </w:p>
    <w:p>
      <w:pPr>
        <w:pStyle w:val="CompactBullet"/>
      </w:pPr>
      <w:r>
        <w:t>background pre-copy of large stable state;</w:t>
      </w:r>
    </w:p>
    <w:p>
      <w:pPr>
        <w:pStyle w:val="CompactBullet"/>
      </w:pPr>
      <w:r>
        <w:t>versioned token-boundary ownership transfer;</w:t>
      </w:r>
    </w:p>
    <w:p>
      <w:pPr>
        <w:pStyle w:val="CompactBullet"/>
      </w:pPr>
      <w:r>
        <w:t>bounded final synchronization of mutable state;</w:t>
      </w:r>
    </w:p>
    <w:p>
      <w:pPr>
        <w:pStyle w:val="CompactBullet"/>
      </w:pPr>
      <w:r>
        <w:t>admission control for concurrent migrations so network/PCIe/NVLink pressure does not hurt foreground SLOs;</w:t>
      </w:r>
    </w:p>
    <w:p>
      <w:pPr>
        <w:pStyle w:val="CompactBullet"/>
      </w:pPr>
      <w:r>
        <w:t>optional state resharding when source and destination TP layouts differ.</w:t>
      </w:r>
    </w:p>
    <w:p>
      <w:pPr>
        <w:pStyle w:val="Heading1"/>
      </w:pPr>
      <w:r>
        <w:t>7. Proposed system design</w:t>
      </w:r>
    </w:p>
    <w:p>
      <w:pPr>
        <w:pStyle w:val="CompactNumber"/>
      </w:pPr>
      <w:r>
        <w:t>Start migration at token version v. Destination allocates request state and model resources.</w:t>
      </w:r>
    </w:p>
    <w:p>
      <w:pPr>
        <w:pStyle w:val="CompactNumber"/>
      </w:pPr>
      <w:r>
        <w:t>Copy stable attention KV in the background while the source keeps decoding.</w:t>
      </w:r>
    </w:p>
    <w:p>
      <w:pPr>
        <w:pStyle w:val="CompactNumber"/>
      </w:pPr>
      <w:r>
        <w:t>Track the source token/version and any KV suffix created after background copy began.</w:t>
      </w:r>
    </w:p>
    <w:p>
      <w:pPr>
        <w:pStyle w:val="CompactNumber"/>
      </w:pPr>
      <w:r>
        <w:t>At a token boundary, establish a migration epoch and stop the source from committing another token for this request.</w:t>
      </w:r>
    </w:p>
    <w:p>
      <w:pPr>
        <w:pStyle w:val="CompactNumber"/>
      </w:pPr>
      <w:r>
        <w:t>Transfer the remaining KV suffix plus the latest recurrent/conv state and minimal sampler/session metadata.</w:t>
      </w:r>
    </w:p>
    <w:p>
      <w:pPr>
        <w:pStyle w:val="CompactNumber"/>
      </w:pPr>
      <w:r>
        <w:t>If topology changes, reshard the state into the destination layout before ownership commit.</w:t>
      </w:r>
    </w:p>
    <w:p>
      <w:pPr>
        <w:pStyle w:val="CompactNumber"/>
      </w:pPr>
      <w:r>
        <w:t>Validate the destination state, atomically switch request ownership, then resume decoding.</w:t>
      </w:r>
    </w:p>
    <w:p>
      <w:pPr>
        <w:pStyle w:val="CompactNumber"/>
      </w:pPr>
      <w:r>
        <w:t>Use a migration admission controller to limit simultaneous transfers based on available fabric bandwidth and foreground SLO pressure.</w:t>
      </w:r>
    </w:p>
    <w:p>
      <w:r>
        <w:t>Replay is a fallback, not the default. ReplaySSM shows that recurrent state can sometimes be represented as a checkpoint plus recent inputs [6]. Our local tests, however, found even one-step replay slightly slower than copying the latest recurrent state on the tested Mac path, so replay should only be used when real GPU/network measurements justify it.</w:t>
      </w:r>
    </w:p>
    <w:p>
      <w:pPr>
        <w:pStyle w:val="Heading1"/>
      </w:pPr>
      <w:r>
        <w:t>8. Experiments already completed</w:t>
      </w:r>
    </w:p>
    <w:p>
      <w:pPr>
        <w:pStyle w:val="Heading2"/>
      </w:pPr>
      <w:r>
        <w:t>8.1 Iteration 1 — synthetic cutover microbenchmark</w:t>
      </w:r>
    </w:p>
    <w:p>
      <w:r>
        <w:t>Purpose: test whether pre-copy can remove stable state from the critical path before touching a real model. This was a single-device MPS microbenchmark, not a real migration.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3744"/>
            <w:shd w:fill="F2F2F2"/>
            <w:vAlign w:val="center"/>
            <w:tcMar>
              <w:top w:w="70" w:type="dxa"/>
              <w:start w:w="85" w:type="dxa"/>
              <w:bottom w:w="70" w:type="dxa"/>
              <w:end w:w="85" w:type="dxa"/>
            </w:tcMar>
          </w:tcPr>
          <w:p>
            <w:pPr>
              <w:spacing w:after="0"/>
            </w:pPr>
            <w:r>
              <w:rPr>
                <w:rFonts w:ascii="Arial" w:hAnsi="Arial"/>
                <w:b/>
                <w:sz w:val="18"/>
              </w:rPr>
              <w:t>Result</w:t>
            </w:r>
          </w:p>
        </w:tc>
        <w:tc>
          <w:tcPr>
            <w:tcW w:type="dxa" w:w="6480"/>
            <w:shd w:fill="F2F2F2"/>
            <w:vAlign w:val="center"/>
            <w:tcMar>
              <w:top w:w="70" w:type="dxa"/>
              <w:start w:w="85" w:type="dxa"/>
              <w:bottom w:w="70" w:type="dxa"/>
              <w:end w:w="85" w:type="dxa"/>
            </w:tcMar>
          </w:tcPr>
          <w:p>
            <w:pPr>
              <w:spacing w:after="0"/>
            </w:pPr>
            <w:r>
              <w:rPr>
                <w:rFonts w:ascii="Arial" w:hAnsi="Arial"/>
                <w:b/>
                <w:sz w:val="18"/>
              </w:rPr>
              <w:t>Observed value</w:t>
            </w:r>
          </w:p>
        </w:tc>
      </w:tr>
      <w:tr>
        <w:tc>
          <w:tcPr>
            <w:tcW w:type="dxa" w:w="3744"/>
            <w:vAlign w:val="center"/>
            <w:tcMar>
              <w:top w:w="70" w:type="dxa"/>
              <w:start w:w="85" w:type="dxa"/>
              <w:bottom w:w="70" w:type="dxa"/>
              <w:end w:w="85" w:type="dxa"/>
            </w:tcMar>
          </w:tcPr>
          <w:p>
            <w:pPr>
              <w:spacing w:after="0"/>
            </w:pPr>
            <w:r>
              <w:rPr>
                <w:rFonts w:ascii="Arial" w:hAnsi="Arial"/>
                <w:sz w:val="18"/>
              </w:rPr>
              <w:t>Quick sweep, 64 MB mutable state</w:t>
            </w:r>
          </w:p>
        </w:tc>
        <w:tc>
          <w:tcPr>
            <w:tcW w:type="dxa" w:w="6480"/>
            <w:vAlign w:val="center"/>
            <w:tcMar>
              <w:top w:w="70" w:type="dxa"/>
              <w:start w:w="85" w:type="dxa"/>
              <w:bottom w:w="70" w:type="dxa"/>
              <w:end w:w="85" w:type="dxa"/>
            </w:tcMar>
          </w:tcPr>
          <w:p>
            <w:pPr>
              <w:spacing w:after="0"/>
            </w:pPr>
            <w:r>
              <w:rPr>
                <w:rFonts w:ascii="Arial" w:hAnsi="Arial"/>
                <w:sz w:val="18"/>
              </w:rPr>
              <w:t>Stop-copy pause ≈ 81.56 ms; pre-copy final pause ≈ 21.51 ms.</w:t>
            </w:r>
          </w:p>
        </w:tc>
      </w:tr>
      <w:tr>
        <w:tc>
          <w:tcPr>
            <w:tcW w:type="dxa" w:w="3744"/>
            <w:vAlign w:val="center"/>
            <w:tcMar>
              <w:top w:w="70" w:type="dxa"/>
              <w:start w:w="85" w:type="dxa"/>
              <w:bottom w:w="70" w:type="dxa"/>
              <w:end w:w="85" w:type="dxa"/>
            </w:tcMar>
          </w:tcPr>
          <w:p>
            <w:pPr>
              <w:spacing w:after="0"/>
            </w:pPr>
            <w:r>
              <w:rPr>
                <w:rFonts w:ascii="Arial" w:hAnsi="Arial"/>
                <w:sz w:val="18"/>
              </w:rPr>
              <w:t>Full sweep</w:t>
            </w:r>
          </w:p>
        </w:tc>
        <w:tc>
          <w:tcPr>
            <w:tcW w:type="dxa" w:w="6480"/>
            <w:vAlign w:val="center"/>
            <w:tcMar>
              <w:top w:w="70" w:type="dxa"/>
              <w:start w:w="85" w:type="dxa"/>
              <w:bottom w:w="70" w:type="dxa"/>
              <w:end w:w="85" w:type="dxa"/>
            </w:tcMar>
          </w:tcPr>
          <w:p>
            <w:pPr>
              <w:spacing w:after="0"/>
            </w:pPr>
            <w:r>
              <w:rPr>
                <w:rFonts w:ascii="Arial" w:hAnsi="Arial"/>
                <w:sz w:val="18"/>
              </w:rPr>
              <w:t>Final pause grew with mutable state: ~0.60 ms at 1 MB to ~134.09 ms at 256 MB.</w:t>
            </w:r>
          </w:p>
        </w:tc>
      </w:tr>
      <w:tr>
        <w:tc>
          <w:tcPr>
            <w:tcW w:type="dxa" w:w="3744"/>
            <w:vAlign w:val="center"/>
            <w:tcMar>
              <w:top w:w="70" w:type="dxa"/>
              <w:start w:w="85" w:type="dxa"/>
              <w:bottom w:w="70" w:type="dxa"/>
              <w:end w:w="85" w:type="dxa"/>
            </w:tcMar>
          </w:tcPr>
          <w:p>
            <w:pPr>
              <w:spacing w:after="0"/>
            </w:pPr>
            <w:r>
              <w:rPr>
                <w:rFonts w:ascii="Arial" w:hAnsi="Arial"/>
                <w:sz w:val="18"/>
              </w:rPr>
              <w:t>Interpretation</w:t>
            </w:r>
          </w:p>
        </w:tc>
        <w:tc>
          <w:tcPr>
            <w:tcW w:type="dxa" w:w="6480"/>
            <w:vAlign w:val="center"/>
            <w:tcMar>
              <w:top w:w="70" w:type="dxa"/>
              <w:start w:w="85" w:type="dxa"/>
              <w:bottom w:w="70" w:type="dxa"/>
              <w:end w:w="85" w:type="dxa"/>
            </w:tcMar>
          </w:tcPr>
          <w:p>
            <w:pPr>
              <w:spacing w:after="0"/>
            </w:pPr>
            <w:r>
              <w:rPr>
                <w:rFonts w:ascii="Arial" w:hAnsi="Arial"/>
                <w:sz w:val="18"/>
              </w:rPr>
              <w:t>Mechanism behaves as expected; actual model state size is decisive.</w:t>
            </w:r>
          </w:p>
        </w:tc>
      </w:tr>
    </w:tbl>
    <w:p>
      <w:pPr>
        <w:spacing w:after="0"/>
      </w:pPr>
    </w:p>
    <w:p>
      <w:pPr>
        <w:pStyle w:val="Heading2"/>
      </w:pPr>
      <w:r>
        <w:t>8.2 Iteration 2 — real hybrid state anatomy</w:t>
      </w:r>
    </w:p>
    <w:p>
      <w:r>
        <w:t>Model: tiiuae/Falcon-H1-0.5B-Instruct, a real hybrid attention + Mamba-2 model, run on Apple MPS. The key result is structural, not performance portability: recurrent state stayed fixed while KV grew with context.</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512"/>
            <w:shd w:fill="F2F2F2"/>
            <w:vAlign w:val="center"/>
            <w:tcMar>
              <w:top w:w="70" w:type="dxa"/>
              <w:start w:w="85" w:type="dxa"/>
              <w:bottom w:w="70" w:type="dxa"/>
              <w:end w:w="85" w:type="dxa"/>
            </w:tcMar>
          </w:tcPr>
          <w:p>
            <w:pPr>
              <w:spacing w:after="0"/>
            </w:pPr>
            <w:r>
              <w:rPr>
                <w:rFonts w:ascii="Arial" w:hAnsi="Arial"/>
                <w:b/>
                <w:sz w:val="17"/>
              </w:rPr>
              <w:t>Context</w:t>
            </w:r>
          </w:p>
        </w:tc>
        <w:tc>
          <w:tcPr>
            <w:tcW w:type="dxa" w:w="1800"/>
            <w:shd w:fill="F2F2F2"/>
            <w:vAlign w:val="center"/>
            <w:tcMar>
              <w:top w:w="70" w:type="dxa"/>
              <w:start w:w="85" w:type="dxa"/>
              <w:bottom w:w="70" w:type="dxa"/>
              <w:end w:w="85" w:type="dxa"/>
            </w:tcMar>
          </w:tcPr>
          <w:p>
            <w:pPr>
              <w:spacing w:after="0"/>
            </w:pPr>
            <w:r>
              <w:rPr>
                <w:rFonts w:ascii="Arial" w:hAnsi="Arial"/>
                <w:b/>
                <w:sz w:val="17"/>
              </w:rPr>
              <w:t>Attention KV</w:t>
            </w:r>
          </w:p>
        </w:tc>
        <w:tc>
          <w:tcPr>
            <w:tcW w:type="dxa" w:w="2016"/>
            <w:shd w:fill="F2F2F2"/>
            <w:vAlign w:val="center"/>
            <w:tcMar>
              <w:top w:w="70" w:type="dxa"/>
              <w:start w:w="85" w:type="dxa"/>
              <w:bottom w:w="70" w:type="dxa"/>
              <w:end w:w="85" w:type="dxa"/>
            </w:tcMar>
          </w:tcPr>
          <w:p>
            <w:pPr>
              <w:spacing w:after="0"/>
            </w:pPr>
            <w:r>
              <w:rPr>
                <w:rFonts w:ascii="Arial" w:hAnsi="Arial"/>
                <w:b/>
                <w:sz w:val="17"/>
              </w:rPr>
              <w:t>Mutable recurrent</w:t>
            </w:r>
          </w:p>
        </w:tc>
        <w:tc>
          <w:tcPr>
            <w:tcW w:type="dxa" w:w="2376"/>
            <w:shd w:fill="F2F2F2"/>
            <w:vAlign w:val="center"/>
            <w:tcMar>
              <w:top w:w="70" w:type="dxa"/>
              <w:start w:w="85" w:type="dxa"/>
              <w:bottom w:w="70" w:type="dxa"/>
              <w:end w:w="85" w:type="dxa"/>
            </w:tcMar>
          </w:tcPr>
          <w:p>
            <w:pPr>
              <w:spacing w:after="0"/>
            </w:pPr>
            <w:r>
              <w:rPr>
                <w:rFonts w:ascii="Arial" w:hAnsi="Arial"/>
                <w:b/>
                <w:sz w:val="17"/>
              </w:rPr>
              <w:t>Host round-trip recurrent</w:t>
            </w:r>
          </w:p>
        </w:tc>
        <w:tc>
          <w:tcPr>
            <w:tcW w:type="dxa" w:w="2232"/>
            <w:shd w:fill="F2F2F2"/>
            <w:vAlign w:val="center"/>
            <w:tcMar>
              <w:top w:w="70" w:type="dxa"/>
              <w:start w:w="85" w:type="dxa"/>
              <w:bottom w:w="70" w:type="dxa"/>
              <w:end w:w="85" w:type="dxa"/>
            </w:tcMar>
          </w:tcPr>
          <w:p>
            <w:pPr>
              <w:spacing w:after="0"/>
            </w:pPr>
            <w:r>
              <w:rPr>
                <w:rFonts w:ascii="Arial" w:hAnsi="Arial"/>
                <w:b/>
                <w:sz w:val="17"/>
              </w:rPr>
              <w:t>Observed token latency*</w:t>
            </w:r>
          </w:p>
        </w:tc>
      </w:tr>
      <w:tr>
        <w:tc>
          <w:tcPr>
            <w:tcW w:type="dxa" w:w="1512"/>
            <w:vAlign w:val="center"/>
            <w:tcMar>
              <w:top w:w="70" w:type="dxa"/>
              <w:start w:w="85" w:type="dxa"/>
              <w:bottom w:w="70" w:type="dxa"/>
              <w:end w:w="85" w:type="dxa"/>
            </w:tcMar>
          </w:tcPr>
          <w:p>
            <w:pPr>
              <w:spacing w:after="0"/>
            </w:pPr>
            <w:r>
              <w:rPr>
                <w:rFonts w:ascii="Arial" w:hAnsi="Arial"/>
                <w:sz w:val="17"/>
              </w:rPr>
              <w:t>64 tokens</w:t>
            </w:r>
          </w:p>
        </w:tc>
        <w:tc>
          <w:tcPr>
            <w:tcW w:type="dxa" w:w="1800"/>
            <w:vAlign w:val="center"/>
            <w:tcMar>
              <w:top w:w="70" w:type="dxa"/>
              <w:start w:w="85" w:type="dxa"/>
              <w:bottom w:w="70" w:type="dxa"/>
              <w:end w:w="85" w:type="dxa"/>
            </w:tcMar>
          </w:tcPr>
          <w:p>
            <w:pPr>
              <w:spacing w:after="0"/>
            </w:pPr>
            <w:r>
              <w:rPr>
                <w:rFonts w:ascii="Arial" w:hAnsi="Arial"/>
                <w:sz w:val="17"/>
              </w:rPr>
              <w:t>1.125 MB</w:t>
            </w:r>
          </w:p>
        </w:tc>
        <w:tc>
          <w:tcPr>
            <w:tcW w:type="dxa" w:w="2016"/>
            <w:vAlign w:val="center"/>
            <w:tcMar>
              <w:top w:w="70" w:type="dxa"/>
              <w:start w:w="85" w:type="dxa"/>
              <w:bottom w:w="70" w:type="dxa"/>
              <w:end w:w="85" w:type="dxa"/>
            </w:tcMar>
          </w:tcPr>
          <w:p>
            <w:pPr>
              <w:spacing w:after="0"/>
            </w:pPr>
            <w:r>
              <w:rPr>
                <w:rFonts w:ascii="Arial" w:hAnsi="Arial"/>
                <w:sz w:val="17"/>
              </w:rPr>
              <w:t>27.492 MB</w:t>
            </w:r>
          </w:p>
        </w:tc>
        <w:tc>
          <w:tcPr>
            <w:tcW w:type="dxa" w:w="2376"/>
            <w:vAlign w:val="center"/>
            <w:tcMar>
              <w:top w:w="70" w:type="dxa"/>
              <w:start w:w="85" w:type="dxa"/>
              <w:bottom w:w="70" w:type="dxa"/>
              <w:end w:w="85" w:type="dxa"/>
            </w:tcMar>
          </w:tcPr>
          <w:p>
            <w:pPr>
              <w:spacing w:after="0"/>
            </w:pPr>
            <w:r>
              <w:rPr>
                <w:rFonts w:ascii="Arial" w:hAnsi="Arial"/>
                <w:sz w:val="17"/>
              </w:rPr>
              <w:t>38.58 ms</w:t>
            </w:r>
          </w:p>
        </w:tc>
        <w:tc>
          <w:tcPr>
            <w:tcW w:type="dxa" w:w="2232"/>
            <w:vAlign w:val="center"/>
            <w:tcMar>
              <w:top w:w="70" w:type="dxa"/>
              <w:start w:w="85" w:type="dxa"/>
              <w:bottom w:w="70" w:type="dxa"/>
              <w:end w:w="85" w:type="dxa"/>
            </w:tcMar>
          </w:tcPr>
          <w:p>
            <w:pPr>
              <w:spacing w:after="0"/>
            </w:pPr>
            <w:r>
              <w:rPr>
                <w:rFonts w:ascii="Arial" w:hAnsi="Arial"/>
                <w:sz w:val="17"/>
              </w:rPr>
              <w:t>2587.59 ms</w:t>
            </w:r>
          </w:p>
        </w:tc>
      </w:tr>
      <w:tr>
        <w:tc>
          <w:tcPr>
            <w:tcW w:type="dxa" w:w="1512"/>
            <w:vAlign w:val="center"/>
            <w:tcMar>
              <w:top w:w="70" w:type="dxa"/>
              <w:start w:w="85" w:type="dxa"/>
              <w:bottom w:w="70" w:type="dxa"/>
              <w:end w:w="85" w:type="dxa"/>
            </w:tcMar>
          </w:tcPr>
          <w:p>
            <w:pPr>
              <w:spacing w:after="0"/>
            </w:pPr>
            <w:r>
              <w:rPr>
                <w:rFonts w:ascii="Arial" w:hAnsi="Arial"/>
                <w:sz w:val="17"/>
              </w:rPr>
              <w:t>256 tokens</w:t>
            </w:r>
          </w:p>
        </w:tc>
        <w:tc>
          <w:tcPr>
            <w:tcW w:type="dxa" w:w="1800"/>
            <w:vAlign w:val="center"/>
            <w:tcMar>
              <w:top w:w="70" w:type="dxa"/>
              <w:start w:w="85" w:type="dxa"/>
              <w:bottom w:w="70" w:type="dxa"/>
              <w:end w:w="85" w:type="dxa"/>
            </w:tcMar>
          </w:tcPr>
          <w:p>
            <w:pPr>
              <w:spacing w:after="0"/>
            </w:pPr>
            <w:r>
              <w:rPr>
                <w:rFonts w:ascii="Arial" w:hAnsi="Arial"/>
                <w:sz w:val="17"/>
              </w:rPr>
              <w:t>4.50 MB</w:t>
            </w:r>
          </w:p>
        </w:tc>
        <w:tc>
          <w:tcPr>
            <w:tcW w:type="dxa" w:w="2016"/>
            <w:vAlign w:val="center"/>
            <w:tcMar>
              <w:top w:w="70" w:type="dxa"/>
              <w:start w:w="85" w:type="dxa"/>
              <w:bottom w:w="70" w:type="dxa"/>
              <w:end w:w="85" w:type="dxa"/>
            </w:tcMar>
          </w:tcPr>
          <w:p>
            <w:pPr>
              <w:spacing w:after="0"/>
            </w:pPr>
            <w:r>
              <w:rPr>
                <w:rFonts w:ascii="Arial" w:hAnsi="Arial"/>
                <w:sz w:val="17"/>
              </w:rPr>
              <w:t>27.492 MB</w:t>
            </w:r>
          </w:p>
        </w:tc>
        <w:tc>
          <w:tcPr>
            <w:tcW w:type="dxa" w:w="2376"/>
            <w:vAlign w:val="center"/>
            <w:tcMar>
              <w:top w:w="70" w:type="dxa"/>
              <w:start w:w="85" w:type="dxa"/>
              <w:bottom w:w="70" w:type="dxa"/>
              <w:end w:w="85" w:type="dxa"/>
            </w:tcMar>
          </w:tcPr>
          <w:p>
            <w:pPr>
              <w:spacing w:after="0"/>
            </w:pPr>
            <w:r>
              <w:rPr>
                <w:rFonts w:ascii="Arial" w:hAnsi="Arial"/>
                <w:sz w:val="17"/>
              </w:rPr>
              <w:t>36.46 ms</w:t>
            </w:r>
          </w:p>
        </w:tc>
        <w:tc>
          <w:tcPr>
            <w:tcW w:type="dxa" w:w="2232"/>
            <w:vAlign w:val="center"/>
            <w:tcMar>
              <w:top w:w="70" w:type="dxa"/>
              <w:start w:w="85" w:type="dxa"/>
              <w:bottom w:w="70" w:type="dxa"/>
              <w:end w:w="85" w:type="dxa"/>
            </w:tcMar>
          </w:tcPr>
          <w:p>
            <w:pPr>
              <w:spacing w:after="0"/>
            </w:pPr>
            <w:r>
              <w:rPr>
                <w:rFonts w:ascii="Arial" w:hAnsi="Arial"/>
                <w:sz w:val="17"/>
              </w:rPr>
              <w:t>63.90 ms</w:t>
            </w:r>
          </w:p>
        </w:tc>
      </w:tr>
      <w:tr>
        <w:tc>
          <w:tcPr>
            <w:tcW w:type="dxa" w:w="1512"/>
            <w:vAlign w:val="center"/>
            <w:tcMar>
              <w:top w:w="70" w:type="dxa"/>
              <w:start w:w="85" w:type="dxa"/>
              <w:bottom w:w="70" w:type="dxa"/>
              <w:end w:w="85" w:type="dxa"/>
            </w:tcMar>
          </w:tcPr>
          <w:p>
            <w:pPr>
              <w:spacing w:after="0"/>
            </w:pPr>
            <w:r>
              <w:rPr>
                <w:rFonts w:ascii="Arial" w:hAnsi="Arial"/>
                <w:sz w:val="17"/>
              </w:rPr>
              <w:t>1024 tokens</w:t>
            </w:r>
          </w:p>
        </w:tc>
        <w:tc>
          <w:tcPr>
            <w:tcW w:type="dxa" w:w="1800"/>
            <w:vAlign w:val="center"/>
            <w:tcMar>
              <w:top w:w="70" w:type="dxa"/>
              <w:start w:w="85" w:type="dxa"/>
              <w:bottom w:w="70" w:type="dxa"/>
              <w:end w:w="85" w:type="dxa"/>
            </w:tcMar>
          </w:tcPr>
          <w:p>
            <w:pPr>
              <w:spacing w:after="0"/>
            </w:pPr>
            <w:r>
              <w:rPr>
                <w:rFonts w:ascii="Arial" w:hAnsi="Arial"/>
                <w:sz w:val="17"/>
              </w:rPr>
              <w:t>18.00 MB</w:t>
            </w:r>
          </w:p>
        </w:tc>
        <w:tc>
          <w:tcPr>
            <w:tcW w:type="dxa" w:w="2016"/>
            <w:vAlign w:val="center"/>
            <w:tcMar>
              <w:top w:w="70" w:type="dxa"/>
              <w:start w:w="85" w:type="dxa"/>
              <w:bottom w:w="70" w:type="dxa"/>
              <w:end w:w="85" w:type="dxa"/>
            </w:tcMar>
          </w:tcPr>
          <w:p>
            <w:pPr>
              <w:spacing w:after="0"/>
            </w:pPr>
            <w:r>
              <w:rPr>
                <w:rFonts w:ascii="Arial" w:hAnsi="Arial"/>
                <w:sz w:val="17"/>
              </w:rPr>
              <w:t>27.492 MB</w:t>
            </w:r>
          </w:p>
        </w:tc>
        <w:tc>
          <w:tcPr>
            <w:tcW w:type="dxa" w:w="2376"/>
            <w:vAlign w:val="center"/>
            <w:tcMar>
              <w:top w:w="70" w:type="dxa"/>
              <w:start w:w="85" w:type="dxa"/>
              <w:bottom w:w="70" w:type="dxa"/>
              <w:end w:w="85" w:type="dxa"/>
            </w:tcMar>
          </w:tcPr>
          <w:p>
            <w:pPr>
              <w:spacing w:after="0"/>
            </w:pPr>
            <w:r>
              <w:rPr>
                <w:rFonts w:ascii="Arial" w:hAnsi="Arial"/>
                <w:sz w:val="17"/>
              </w:rPr>
              <w:t>53.40 ms</w:t>
            </w:r>
          </w:p>
        </w:tc>
        <w:tc>
          <w:tcPr>
            <w:tcW w:type="dxa" w:w="2232"/>
            <w:vAlign w:val="center"/>
            <w:tcMar>
              <w:top w:w="70" w:type="dxa"/>
              <w:start w:w="85" w:type="dxa"/>
              <w:bottom w:w="70" w:type="dxa"/>
              <w:end w:w="85" w:type="dxa"/>
            </w:tcMar>
          </w:tcPr>
          <w:p>
            <w:pPr>
              <w:spacing w:after="0"/>
            </w:pPr>
            <w:r>
              <w:rPr>
                <w:rFonts w:ascii="Arial" w:hAnsi="Arial"/>
                <w:sz w:val="17"/>
              </w:rPr>
              <w:t>149.09 ms</w:t>
            </w:r>
          </w:p>
        </w:tc>
      </w:tr>
    </w:tbl>
    <w:p>
      <w:pPr>
        <w:spacing w:after="0"/>
      </w:pPr>
    </w:p>
    <w:p>
      <w:r>
        <w:t>*Mac MPS timings are not representative of H100/B200 production serving; they were used only for local mechanism screening. The 64-token latency includes clear warm-up effects.</w:t>
      </w:r>
    </w:p>
    <w:p>
      <w:r>
        <w:t>The cache tensor inspection showed per-layer attention keys/values growing with context, while recurrent states retained fixed shapes. Across the tested 36 layers, the aggregate recurrent state was ~27.49 MB per request.</w:t>
      </w:r>
    </w:p>
    <w:p>
      <w:pPr>
        <w:pStyle w:val="Heading2"/>
      </w:pPr>
      <w:r>
        <w:t>8.3 Iteration 3 — restore correctness, replay, and bandwidth projection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528"/>
            <w:shd w:fill="F2F2F2"/>
            <w:vAlign w:val="center"/>
            <w:tcMar>
              <w:top w:w="70" w:type="dxa"/>
              <w:start w:w="85" w:type="dxa"/>
              <w:bottom w:w="70" w:type="dxa"/>
              <w:end w:w="85" w:type="dxa"/>
            </w:tcMar>
          </w:tcPr>
          <w:p>
            <w:pPr>
              <w:spacing w:after="0"/>
            </w:pPr>
            <w:r>
              <w:rPr>
                <w:rFonts w:ascii="Arial" w:hAnsi="Arial"/>
                <w:b/>
                <w:sz w:val="17"/>
              </w:rPr>
              <w:t>Test</w:t>
            </w:r>
          </w:p>
        </w:tc>
        <w:tc>
          <w:tcPr>
            <w:tcW w:type="dxa" w:w="3240"/>
            <w:shd w:fill="F2F2F2"/>
            <w:vAlign w:val="center"/>
            <w:tcMar>
              <w:top w:w="70" w:type="dxa"/>
              <w:start w:w="85" w:type="dxa"/>
              <w:bottom w:w="70" w:type="dxa"/>
              <w:end w:w="85" w:type="dxa"/>
            </w:tcMar>
          </w:tcPr>
          <w:p>
            <w:pPr>
              <w:spacing w:after="0"/>
            </w:pPr>
            <w:r>
              <w:rPr>
                <w:rFonts w:ascii="Arial" w:hAnsi="Arial"/>
                <w:b/>
                <w:sz w:val="17"/>
              </w:rPr>
              <w:t>256-token result</w:t>
            </w:r>
          </w:p>
        </w:tc>
        <w:tc>
          <w:tcPr>
            <w:tcW w:type="dxa" w:w="3240"/>
            <w:shd w:fill="F2F2F2"/>
            <w:vAlign w:val="center"/>
            <w:tcMar>
              <w:top w:w="70" w:type="dxa"/>
              <w:start w:w="85" w:type="dxa"/>
              <w:bottom w:w="70" w:type="dxa"/>
              <w:end w:w="85" w:type="dxa"/>
            </w:tcMar>
          </w:tcPr>
          <w:p>
            <w:pPr>
              <w:spacing w:after="0"/>
            </w:pPr>
            <w:r>
              <w:rPr>
                <w:rFonts w:ascii="Arial" w:hAnsi="Arial"/>
                <w:b/>
                <w:sz w:val="17"/>
              </w:rPr>
              <w:t>1024-token result</w:t>
            </w:r>
          </w:p>
        </w:tc>
      </w:tr>
      <w:tr>
        <w:tc>
          <w:tcPr>
            <w:tcW w:type="dxa" w:w="3528"/>
            <w:vAlign w:val="center"/>
            <w:tcMar>
              <w:top w:w="70" w:type="dxa"/>
              <w:start w:w="85" w:type="dxa"/>
              <w:bottom w:w="70" w:type="dxa"/>
              <w:end w:w="85" w:type="dxa"/>
            </w:tcMar>
          </w:tcPr>
          <w:p>
            <w:pPr>
              <w:spacing w:after="0"/>
            </w:pPr>
            <w:r>
              <w:rPr>
                <w:rFonts w:ascii="Arial" w:hAnsi="Arial"/>
                <w:sz w:val="17"/>
              </w:rPr>
              <w:t>Multi-token restored continuation</w:t>
            </w:r>
          </w:p>
        </w:tc>
        <w:tc>
          <w:tcPr>
            <w:tcW w:type="dxa" w:w="3240"/>
            <w:vAlign w:val="center"/>
            <w:tcMar>
              <w:top w:w="70" w:type="dxa"/>
              <w:start w:w="85" w:type="dxa"/>
              <w:bottom w:w="70" w:type="dxa"/>
              <w:end w:w="85" w:type="dxa"/>
            </w:tcMar>
          </w:tcPr>
          <w:p>
            <w:pPr>
              <w:spacing w:after="0"/>
            </w:pPr>
            <w:r>
              <w:rPr>
                <w:rFonts w:ascii="Arial" w:hAnsi="Arial"/>
                <w:sz w:val="17"/>
              </w:rPr>
              <w:t>Match = True for 8 steps</w:t>
            </w:r>
          </w:p>
        </w:tc>
        <w:tc>
          <w:tcPr>
            <w:tcW w:type="dxa" w:w="3240"/>
            <w:vAlign w:val="center"/>
            <w:tcMar>
              <w:top w:w="70" w:type="dxa"/>
              <w:start w:w="85" w:type="dxa"/>
              <w:bottom w:w="70" w:type="dxa"/>
              <w:end w:w="85" w:type="dxa"/>
            </w:tcMar>
          </w:tcPr>
          <w:p>
            <w:pPr>
              <w:spacing w:after="0"/>
            </w:pPr>
            <w:r>
              <w:rPr>
                <w:rFonts w:ascii="Arial" w:hAnsi="Arial"/>
                <w:sz w:val="17"/>
              </w:rPr>
              <w:t>Match = True for 8 steps</w:t>
            </w:r>
          </w:p>
        </w:tc>
      </w:tr>
      <w:tr>
        <w:tc>
          <w:tcPr>
            <w:tcW w:type="dxa" w:w="3528"/>
            <w:vAlign w:val="center"/>
            <w:tcMar>
              <w:top w:w="70" w:type="dxa"/>
              <w:start w:w="85" w:type="dxa"/>
              <w:bottom w:w="70" w:type="dxa"/>
              <w:end w:w="85" w:type="dxa"/>
            </w:tcMar>
          </w:tcPr>
          <w:p>
            <w:pPr>
              <w:spacing w:after="0"/>
            </w:pPr>
            <w:r>
              <w:rPr>
                <w:rFonts w:ascii="Arial" w:hAnsi="Arial"/>
                <w:sz w:val="17"/>
              </w:rPr>
              <w:t>Mutable recurrent state</w:t>
            </w:r>
          </w:p>
        </w:tc>
        <w:tc>
          <w:tcPr>
            <w:tcW w:type="dxa" w:w="3240"/>
            <w:vAlign w:val="center"/>
            <w:tcMar>
              <w:top w:w="70" w:type="dxa"/>
              <w:start w:w="85" w:type="dxa"/>
              <w:bottom w:w="70" w:type="dxa"/>
              <w:end w:w="85" w:type="dxa"/>
            </w:tcMar>
          </w:tcPr>
          <w:p>
            <w:pPr>
              <w:spacing w:after="0"/>
            </w:pPr>
            <w:r>
              <w:rPr>
                <w:rFonts w:ascii="Arial" w:hAnsi="Arial"/>
                <w:sz w:val="17"/>
              </w:rPr>
              <w:t>27.492 MB</w:t>
            </w:r>
          </w:p>
        </w:tc>
        <w:tc>
          <w:tcPr>
            <w:tcW w:type="dxa" w:w="3240"/>
            <w:vAlign w:val="center"/>
            <w:tcMar>
              <w:top w:w="70" w:type="dxa"/>
              <w:start w:w="85" w:type="dxa"/>
              <w:bottom w:w="70" w:type="dxa"/>
              <w:end w:w="85" w:type="dxa"/>
            </w:tcMar>
          </w:tcPr>
          <w:p>
            <w:pPr>
              <w:spacing w:after="0"/>
            </w:pPr>
            <w:r>
              <w:rPr>
                <w:rFonts w:ascii="Arial" w:hAnsi="Arial"/>
                <w:sz w:val="17"/>
              </w:rPr>
              <w:t>27.492 MB</w:t>
            </w:r>
          </w:p>
        </w:tc>
      </w:tr>
      <w:tr>
        <w:tc>
          <w:tcPr>
            <w:tcW w:type="dxa" w:w="3528"/>
            <w:vAlign w:val="center"/>
            <w:tcMar>
              <w:top w:w="70" w:type="dxa"/>
              <w:start w:w="85" w:type="dxa"/>
              <w:bottom w:w="70" w:type="dxa"/>
              <w:end w:w="85" w:type="dxa"/>
            </w:tcMar>
          </w:tcPr>
          <w:p>
            <w:pPr>
              <w:spacing w:after="0"/>
            </w:pPr>
            <w:r>
              <w:rPr>
                <w:rFonts w:ascii="Arial" w:hAnsi="Arial"/>
                <w:sz w:val="17"/>
              </w:rPr>
              <w:t>Attention KV</w:t>
            </w:r>
          </w:p>
        </w:tc>
        <w:tc>
          <w:tcPr>
            <w:tcW w:type="dxa" w:w="3240"/>
            <w:vAlign w:val="center"/>
            <w:tcMar>
              <w:top w:w="70" w:type="dxa"/>
              <w:start w:w="85" w:type="dxa"/>
              <w:bottom w:w="70" w:type="dxa"/>
              <w:end w:w="85" w:type="dxa"/>
            </w:tcMar>
          </w:tcPr>
          <w:p>
            <w:pPr>
              <w:spacing w:after="0"/>
            </w:pPr>
            <w:r>
              <w:rPr>
                <w:rFonts w:ascii="Arial" w:hAnsi="Arial"/>
                <w:sz w:val="17"/>
              </w:rPr>
              <w:t>4.50 MB</w:t>
            </w:r>
          </w:p>
        </w:tc>
        <w:tc>
          <w:tcPr>
            <w:tcW w:type="dxa" w:w="3240"/>
            <w:vAlign w:val="center"/>
            <w:tcMar>
              <w:top w:w="70" w:type="dxa"/>
              <w:start w:w="85" w:type="dxa"/>
              <w:bottom w:w="70" w:type="dxa"/>
              <w:end w:w="85" w:type="dxa"/>
            </w:tcMar>
          </w:tcPr>
          <w:p>
            <w:pPr>
              <w:spacing w:after="0"/>
            </w:pPr>
            <w:r>
              <w:rPr>
                <w:rFonts w:ascii="Arial" w:hAnsi="Arial"/>
                <w:sz w:val="17"/>
              </w:rPr>
              <w:t>18.00 MB</w:t>
            </w:r>
          </w:p>
        </w:tc>
      </w:tr>
      <w:tr>
        <w:tc>
          <w:tcPr>
            <w:tcW w:type="dxa" w:w="3528"/>
            <w:vAlign w:val="center"/>
            <w:tcMar>
              <w:top w:w="70" w:type="dxa"/>
              <w:start w:w="85" w:type="dxa"/>
              <w:bottom w:w="70" w:type="dxa"/>
              <w:end w:w="85" w:type="dxa"/>
            </w:tcMar>
          </w:tcPr>
          <w:p>
            <w:pPr>
              <w:spacing w:after="0"/>
            </w:pPr>
            <w:r>
              <w:rPr>
                <w:rFonts w:ascii="Arial" w:hAnsi="Arial"/>
                <w:sz w:val="17"/>
              </w:rPr>
              <w:t>Warmed token latency</w:t>
            </w:r>
          </w:p>
        </w:tc>
        <w:tc>
          <w:tcPr>
            <w:tcW w:type="dxa" w:w="3240"/>
            <w:vAlign w:val="center"/>
            <w:tcMar>
              <w:top w:w="70" w:type="dxa"/>
              <w:start w:w="85" w:type="dxa"/>
              <w:bottom w:w="70" w:type="dxa"/>
              <w:end w:w="85" w:type="dxa"/>
            </w:tcMar>
          </w:tcPr>
          <w:p>
            <w:pPr>
              <w:spacing w:after="0"/>
            </w:pPr>
            <w:r>
              <w:rPr>
                <w:rFonts w:ascii="Arial" w:hAnsi="Arial"/>
                <w:sz w:val="17"/>
              </w:rPr>
              <w:t>373.85 ms</w:t>
            </w:r>
          </w:p>
        </w:tc>
        <w:tc>
          <w:tcPr>
            <w:tcW w:type="dxa" w:w="3240"/>
            <w:vAlign w:val="center"/>
            <w:tcMar>
              <w:top w:w="70" w:type="dxa"/>
              <w:start w:w="85" w:type="dxa"/>
              <w:bottom w:w="70" w:type="dxa"/>
              <w:end w:w="85" w:type="dxa"/>
            </w:tcMar>
          </w:tcPr>
          <w:p>
            <w:pPr>
              <w:spacing w:after="0"/>
            </w:pPr>
            <w:r>
              <w:rPr>
                <w:rFonts w:ascii="Arial" w:hAnsi="Arial"/>
                <w:sz w:val="17"/>
              </w:rPr>
              <w:t>87.50 ms</w:t>
            </w:r>
          </w:p>
        </w:tc>
      </w:tr>
      <w:tr>
        <w:tc>
          <w:tcPr>
            <w:tcW w:type="dxa" w:w="3528"/>
            <w:vAlign w:val="center"/>
            <w:tcMar>
              <w:top w:w="70" w:type="dxa"/>
              <w:start w:w="85" w:type="dxa"/>
              <w:bottom w:w="70" w:type="dxa"/>
              <w:end w:w="85" w:type="dxa"/>
            </w:tcMar>
          </w:tcPr>
          <w:p>
            <w:pPr>
              <w:spacing w:after="0"/>
            </w:pPr>
            <w:r>
              <w:rPr>
                <w:rFonts w:ascii="Arial" w:hAnsi="Arial"/>
                <w:sz w:val="17"/>
              </w:rPr>
              <w:t>Measured host round-trip</w:t>
            </w:r>
          </w:p>
        </w:tc>
        <w:tc>
          <w:tcPr>
            <w:tcW w:type="dxa" w:w="3240"/>
            <w:vAlign w:val="center"/>
            <w:tcMar>
              <w:top w:w="70" w:type="dxa"/>
              <w:start w:w="85" w:type="dxa"/>
              <w:bottom w:w="70" w:type="dxa"/>
              <w:end w:w="85" w:type="dxa"/>
            </w:tcMar>
          </w:tcPr>
          <w:p>
            <w:pPr>
              <w:spacing w:after="0"/>
            </w:pPr>
            <w:r>
              <w:rPr>
                <w:rFonts w:ascii="Arial" w:hAnsi="Arial"/>
                <w:sz w:val="17"/>
              </w:rPr>
              <w:t>171.48 ms</w:t>
            </w:r>
          </w:p>
        </w:tc>
        <w:tc>
          <w:tcPr>
            <w:tcW w:type="dxa" w:w="3240"/>
            <w:vAlign w:val="center"/>
            <w:tcMar>
              <w:top w:w="70" w:type="dxa"/>
              <w:start w:w="85" w:type="dxa"/>
              <w:bottom w:w="70" w:type="dxa"/>
              <w:end w:w="85" w:type="dxa"/>
            </w:tcMar>
          </w:tcPr>
          <w:p>
            <w:pPr>
              <w:spacing w:after="0"/>
            </w:pPr>
            <w:r>
              <w:rPr>
                <w:rFonts w:ascii="Arial" w:hAnsi="Arial"/>
                <w:sz w:val="17"/>
              </w:rPr>
              <w:t>74.21 ms</w:t>
            </w:r>
          </w:p>
        </w:tc>
      </w:tr>
      <w:tr>
        <w:tc>
          <w:tcPr>
            <w:tcW w:type="dxa" w:w="3528"/>
            <w:vAlign w:val="center"/>
            <w:tcMar>
              <w:top w:w="70" w:type="dxa"/>
              <w:start w:w="85" w:type="dxa"/>
              <w:bottom w:w="70" w:type="dxa"/>
              <w:end w:w="85" w:type="dxa"/>
            </w:tcMar>
          </w:tcPr>
          <w:p>
            <w:pPr>
              <w:spacing w:after="0"/>
            </w:pPr>
            <w:r>
              <w:rPr>
                <w:rFonts w:ascii="Arial" w:hAnsi="Arial"/>
                <w:sz w:val="17"/>
              </w:rPr>
              <w:t>1-step replay / latest-state copy</w:t>
            </w:r>
          </w:p>
        </w:tc>
        <w:tc>
          <w:tcPr>
            <w:tcW w:type="dxa" w:w="3240"/>
            <w:vAlign w:val="center"/>
            <w:tcMar>
              <w:top w:w="70" w:type="dxa"/>
              <w:start w:w="85" w:type="dxa"/>
              <w:bottom w:w="70" w:type="dxa"/>
              <w:end w:w="85" w:type="dxa"/>
            </w:tcMar>
          </w:tcPr>
          <w:p>
            <w:pPr>
              <w:spacing w:after="0"/>
            </w:pPr>
            <w:r>
              <w:rPr>
                <w:rFonts w:ascii="Arial" w:hAnsi="Arial"/>
                <w:sz w:val="17"/>
              </w:rPr>
              <w:t>1.16× slower</w:t>
            </w:r>
          </w:p>
        </w:tc>
        <w:tc>
          <w:tcPr>
            <w:tcW w:type="dxa" w:w="3240"/>
            <w:vAlign w:val="center"/>
            <w:tcMar>
              <w:top w:w="70" w:type="dxa"/>
              <w:start w:w="85" w:type="dxa"/>
              <w:bottom w:w="70" w:type="dxa"/>
              <w:end w:w="85" w:type="dxa"/>
            </w:tcMar>
          </w:tcPr>
          <w:p>
            <w:pPr>
              <w:spacing w:after="0"/>
            </w:pPr>
            <w:r>
              <w:rPr>
                <w:rFonts w:ascii="Arial" w:hAnsi="Arial"/>
                <w:sz w:val="17"/>
              </w:rPr>
              <w:t>1.21× slower</w:t>
            </w:r>
          </w:p>
        </w:tc>
      </w:tr>
      <w:tr>
        <w:tc>
          <w:tcPr>
            <w:tcW w:type="dxa" w:w="3528"/>
            <w:vAlign w:val="center"/>
            <w:tcMar>
              <w:top w:w="70" w:type="dxa"/>
              <w:start w:w="85" w:type="dxa"/>
              <w:bottom w:w="70" w:type="dxa"/>
              <w:end w:w="85" w:type="dxa"/>
            </w:tcMar>
          </w:tcPr>
          <w:p>
            <w:pPr>
              <w:spacing w:after="0"/>
            </w:pPr>
            <w:r>
              <w:rPr>
                <w:rFonts w:ascii="Arial" w:hAnsi="Arial"/>
                <w:sz w:val="17"/>
              </w:rPr>
              <w:t>4-step replay / copy</w:t>
            </w:r>
          </w:p>
        </w:tc>
        <w:tc>
          <w:tcPr>
            <w:tcW w:type="dxa" w:w="3240"/>
            <w:vAlign w:val="center"/>
            <w:tcMar>
              <w:top w:w="70" w:type="dxa"/>
              <w:start w:w="85" w:type="dxa"/>
              <w:bottom w:w="70" w:type="dxa"/>
              <w:end w:w="85" w:type="dxa"/>
            </w:tcMar>
          </w:tcPr>
          <w:p>
            <w:pPr>
              <w:spacing w:after="0"/>
            </w:pPr>
            <w:r>
              <w:rPr>
                <w:rFonts w:ascii="Arial" w:hAnsi="Arial"/>
                <w:sz w:val="17"/>
              </w:rPr>
              <w:t>7.15× slower</w:t>
            </w:r>
          </w:p>
        </w:tc>
        <w:tc>
          <w:tcPr>
            <w:tcW w:type="dxa" w:w="3240"/>
            <w:vAlign w:val="center"/>
            <w:tcMar>
              <w:top w:w="70" w:type="dxa"/>
              <w:start w:w="85" w:type="dxa"/>
              <w:bottom w:w="70" w:type="dxa"/>
              <w:end w:w="85" w:type="dxa"/>
            </w:tcMar>
          </w:tcPr>
          <w:p>
            <w:pPr>
              <w:spacing w:after="0"/>
            </w:pPr>
            <w:r>
              <w:rPr>
                <w:rFonts w:ascii="Arial" w:hAnsi="Arial"/>
                <w:sz w:val="17"/>
              </w:rPr>
              <w:t>4.98× slower</w:t>
            </w:r>
          </w:p>
        </w:tc>
      </w:tr>
      <w:tr>
        <w:tc>
          <w:tcPr>
            <w:tcW w:type="dxa" w:w="3528"/>
            <w:vAlign w:val="center"/>
            <w:tcMar>
              <w:top w:w="70" w:type="dxa"/>
              <w:start w:w="85" w:type="dxa"/>
              <w:bottom w:w="70" w:type="dxa"/>
              <w:end w:w="85" w:type="dxa"/>
            </w:tcMar>
          </w:tcPr>
          <w:p>
            <w:pPr>
              <w:spacing w:after="0"/>
            </w:pPr>
            <w:r>
              <w:rPr>
                <w:rFonts w:ascii="Arial" w:hAnsi="Arial"/>
                <w:sz w:val="17"/>
              </w:rPr>
              <w:t>16-step replay / copy</w:t>
            </w:r>
          </w:p>
        </w:tc>
        <w:tc>
          <w:tcPr>
            <w:tcW w:type="dxa" w:w="3240"/>
            <w:vAlign w:val="center"/>
            <w:tcMar>
              <w:top w:w="70" w:type="dxa"/>
              <w:start w:w="85" w:type="dxa"/>
              <w:bottom w:w="70" w:type="dxa"/>
              <w:end w:w="85" w:type="dxa"/>
            </w:tcMar>
          </w:tcPr>
          <w:p>
            <w:pPr>
              <w:spacing w:after="0"/>
            </w:pPr>
            <w:r>
              <w:rPr>
                <w:rFonts w:ascii="Arial" w:hAnsi="Arial"/>
                <w:sz w:val="17"/>
              </w:rPr>
              <w:t>28.32× slower</w:t>
            </w:r>
          </w:p>
        </w:tc>
        <w:tc>
          <w:tcPr>
            <w:tcW w:type="dxa" w:w="3240"/>
            <w:vAlign w:val="center"/>
            <w:tcMar>
              <w:top w:w="70" w:type="dxa"/>
              <w:start w:w="85" w:type="dxa"/>
              <w:bottom w:w="70" w:type="dxa"/>
              <w:end w:w="85" w:type="dxa"/>
            </w:tcMar>
          </w:tcPr>
          <w:p>
            <w:pPr>
              <w:spacing w:after="0"/>
            </w:pPr>
            <w:r>
              <w:rPr>
                <w:rFonts w:ascii="Arial" w:hAnsi="Arial"/>
                <w:sz w:val="17"/>
              </w:rPr>
              <w:t>18.94× slower</w:t>
            </w:r>
          </w:p>
        </w:tc>
      </w:tr>
    </w:tbl>
    <w:p>
      <w:pPr>
        <w:spacing w:after="0"/>
      </w:pPr>
    </w:p>
    <w:p>
      <w:r>
        <w:t>Correctness was strong in the local test: restored execution matched, next-token decisions matched, and measured max logit/recurrent-state differences were zero for the replay cases tested.</w:t>
      </w:r>
    </w:p>
    <w:p>
      <w:pPr>
        <w:pStyle w:val="Heading1"/>
      </w:pPr>
      <w:r>
        <w:t>9. What the experiments changed</w:t>
      </w:r>
    </w:p>
    <w:p>
      <w:r>
        <w:t>The most important result is adversarial: one request’s 27.49 MB recurrent state is not obviously expensive on a datacenter fabric. The experiment’s ideal transfer projection is:</w:t>
      </w:r>
    </w:p>
    <w:tbl>
      <w:tblPr>
        <w:tblStyle w:val="TableGrid"/>
        <w:tblW w:type="auto" w:w="0"/>
        <w:jc w:val="center"/>
        <w:tblLayout w:type="fixed"/>
        <w:tblLook w:firstColumn="1" w:firstRow="1" w:lastColumn="0" w:lastRow="0" w:noHBand="0" w:noVBand="1" w:val="04A0"/>
      </w:tblPr>
      <w:tblGrid>
        <w:gridCol w:w="5083"/>
        <w:gridCol w:w="5083"/>
      </w:tblGrid>
      <w:tr>
        <w:tc>
          <w:tcPr>
            <w:tcW w:type="dxa" w:w="4032"/>
            <w:shd w:fill="F2F2F2"/>
            <w:vAlign w:val="center"/>
            <w:tcMar>
              <w:top w:w="70" w:type="dxa"/>
              <w:start w:w="85" w:type="dxa"/>
              <w:bottom w:w="70" w:type="dxa"/>
              <w:end w:w="85" w:type="dxa"/>
            </w:tcMar>
          </w:tcPr>
          <w:p>
            <w:pPr>
              <w:spacing w:after="0"/>
            </w:pPr>
            <w:r>
              <w:rPr>
                <w:rFonts w:ascii="Arial" w:hAnsi="Arial"/>
                <w:b/>
                <w:sz w:val="18"/>
              </w:rPr>
              <w:t>Ideal bandwidth</w:t>
            </w:r>
          </w:p>
        </w:tc>
        <w:tc>
          <w:tcPr>
            <w:tcW w:type="dxa" w:w="6192"/>
            <w:shd w:fill="F2F2F2"/>
            <w:vAlign w:val="center"/>
            <w:tcMar>
              <w:top w:w="70" w:type="dxa"/>
              <w:start w:w="85" w:type="dxa"/>
              <w:bottom w:w="70" w:type="dxa"/>
              <w:end w:w="85" w:type="dxa"/>
            </w:tcMar>
          </w:tcPr>
          <w:p>
            <w:pPr>
              <w:spacing w:after="0"/>
            </w:pPr>
            <w:r>
              <w:rPr>
                <w:rFonts w:ascii="Arial" w:hAnsi="Arial"/>
                <w:b/>
                <w:sz w:val="18"/>
              </w:rPr>
              <w:t>27.49 MB recurrent-state transfer</w:t>
            </w:r>
          </w:p>
        </w:tc>
      </w:tr>
      <w:tr>
        <w:tc>
          <w:tcPr>
            <w:tcW w:type="dxa" w:w="4032"/>
            <w:vAlign w:val="center"/>
            <w:tcMar>
              <w:top w:w="70" w:type="dxa"/>
              <w:start w:w="85" w:type="dxa"/>
              <w:bottom w:w="70" w:type="dxa"/>
              <w:end w:w="85" w:type="dxa"/>
            </w:tcMar>
          </w:tcPr>
          <w:p>
            <w:pPr>
              <w:spacing w:after="0"/>
            </w:pPr>
            <w:r>
              <w:rPr>
                <w:rFonts w:ascii="Arial" w:hAnsi="Arial"/>
                <w:sz w:val="18"/>
              </w:rPr>
              <w:t>12.5 GB/s (~100 Gb/s)</w:t>
            </w:r>
          </w:p>
        </w:tc>
        <w:tc>
          <w:tcPr>
            <w:tcW w:type="dxa" w:w="6192"/>
            <w:vAlign w:val="center"/>
            <w:tcMar>
              <w:top w:w="70" w:type="dxa"/>
              <w:start w:w="85" w:type="dxa"/>
              <w:bottom w:w="70" w:type="dxa"/>
              <w:end w:w="85" w:type="dxa"/>
            </w:tcMar>
          </w:tcPr>
          <w:p>
            <w:pPr>
              <w:spacing w:after="0"/>
            </w:pPr>
            <w:r>
              <w:rPr>
                <w:rFonts w:ascii="Arial" w:hAnsi="Arial"/>
                <w:sz w:val="18"/>
              </w:rPr>
              <w:t>2.148 ms</w:t>
            </w:r>
          </w:p>
        </w:tc>
      </w:tr>
      <w:tr>
        <w:tc>
          <w:tcPr>
            <w:tcW w:type="dxa" w:w="4032"/>
            <w:vAlign w:val="center"/>
            <w:tcMar>
              <w:top w:w="70" w:type="dxa"/>
              <w:start w:w="85" w:type="dxa"/>
              <w:bottom w:w="70" w:type="dxa"/>
              <w:end w:w="85" w:type="dxa"/>
            </w:tcMar>
          </w:tcPr>
          <w:p>
            <w:pPr>
              <w:spacing w:after="0"/>
            </w:pPr>
            <w:r>
              <w:rPr>
                <w:rFonts w:ascii="Arial" w:hAnsi="Arial"/>
                <w:sz w:val="18"/>
              </w:rPr>
              <w:t>25 GB/s</w:t>
            </w:r>
          </w:p>
        </w:tc>
        <w:tc>
          <w:tcPr>
            <w:tcW w:type="dxa" w:w="6192"/>
            <w:vAlign w:val="center"/>
            <w:tcMar>
              <w:top w:w="70" w:type="dxa"/>
              <w:start w:w="85" w:type="dxa"/>
              <w:bottom w:w="70" w:type="dxa"/>
              <w:end w:w="85" w:type="dxa"/>
            </w:tcMar>
          </w:tcPr>
          <w:p>
            <w:pPr>
              <w:spacing w:after="0"/>
            </w:pPr>
            <w:r>
              <w:rPr>
                <w:rFonts w:ascii="Arial" w:hAnsi="Arial"/>
                <w:sz w:val="18"/>
              </w:rPr>
              <w:t>1.074 ms</w:t>
            </w:r>
          </w:p>
        </w:tc>
      </w:tr>
      <w:tr>
        <w:tc>
          <w:tcPr>
            <w:tcW w:type="dxa" w:w="4032"/>
            <w:vAlign w:val="center"/>
            <w:tcMar>
              <w:top w:w="70" w:type="dxa"/>
              <w:start w:w="85" w:type="dxa"/>
              <w:bottom w:w="70" w:type="dxa"/>
              <w:end w:w="85" w:type="dxa"/>
            </w:tcMar>
          </w:tcPr>
          <w:p>
            <w:pPr>
              <w:spacing w:after="0"/>
            </w:pPr>
            <w:r>
              <w:rPr>
                <w:rFonts w:ascii="Arial" w:hAnsi="Arial"/>
                <w:sz w:val="18"/>
              </w:rPr>
              <w:t>50 GB/s</w:t>
            </w:r>
          </w:p>
        </w:tc>
        <w:tc>
          <w:tcPr>
            <w:tcW w:type="dxa" w:w="6192"/>
            <w:vAlign w:val="center"/>
            <w:tcMar>
              <w:top w:w="70" w:type="dxa"/>
              <w:start w:w="85" w:type="dxa"/>
              <w:bottom w:w="70" w:type="dxa"/>
              <w:end w:w="85" w:type="dxa"/>
            </w:tcMar>
          </w:tcPr>
          <w:p>
            <w:pPr>
              <w:spacing w:after="0"/>
            </w:pPr>
            <w:r>
              <w:rPr>
                <w:rFonts w:ascii="Arial" w:hAnsi="Arial"/>
                <w:sz w:val="18"/>
              </w:rPr>
              <w:t>0.537 ms</w:t>
            </w:r>
          </w:p>
        </w:tc>
      </w:tr>
      <w:tr>
        <w:tc>
          <w:tcPr>
            <w:tcW w:type="dxa" w:w="4032"/>
            <w:vAlign w:val="center"/>
            <w:tcMar>
              <w:top w:w="70" w:type="dxa"/>
              <w:start w:w="85" w:type="dxa"/>
              <w:bottom w:w="70" w:type="dxa"/>
              <w:end w:w="85" w:type="dxa"/>
            </w:tcMar>
          </w:tcPr>
          <w:p>
            <w:pPr>
              <w:spacing w:after="0"/>
            </w:pPr>
            <w:r>
              <w:rPr>
                <w:rFonts w:ascii="Arial" w:hAnsi="Arial"/>
                <w:sz w:val="18"/>
              </w:rPr>
              <w:t>100 GB/s</w:t>
            </w:r>
          </w:p>
        </w:tc>
        <w:tc>
          <w:tcPr>
            <w:tcW w:type="dxa" w:w="6192"/>
            <w:vAlign w:val="center"/>
            <w:tcMar>
              <w:top w:w="70" w:type="dxa"/>
              <w:start w:w="85" w:type="dxa"/>
              <w:bottom w:w="70" w:type="dxa"/>
              <w:end w:w="85" w:type="dxa"/>
            </w:tcMar>
          </w:tcPr>
          <w:p>
            <w:pPr>
              <w:spacing w:after="0"/>
            </w:pPr>
            <w:r>
              <w:rPr>
                <w:rFonts w:ascii="Arial" w:hAnsi="Arial"/>
                <w:sz w:val="18"/>
              </w:rPr>
              <w:t>0.268 ms</w:t>
            </w:r>
          </w:p>
        </w:tc>
      </w:tr>
      <w:tr>
        <w:tc>
          <w:tcPr>
            <w:tcW w:type="dxa" w:w="4032"/>
            <w:vAlign w:val="center"/>
            <w:tcMar>
              <w:top w:w="70" w:type="dxa"/>
              <w:start w:w="85" w:type="dxa"/>
              <w:bottom w:w="70" w:type="dxa"/>
              <w:end w:w="85" w:type="dxa"/>
            </w:tcMar>
          </w:tcPr>
          <w:p>
            <w:pPr>
              <w:spacing w:after="0"/>
            </w:pPr>
            <w:r>
              <w:rPr>
                <w:rFonts w:ascii="Arial" w:hAnsi="Arial"/>
                <w:sz w:val="18"/>
              </w:rPr>
              <w:t>200 GB/s</w:t>
            </w:r>
          </w:p>
        </w:tc>
        <w:tc>
          <w:tcPr>
            <w:tcW w:type="dxa" w:w="6192"/>
            <w:vAlign w:val="center"/>
            <w:tcMar>
              <w:top w:w="70" w:type="dxa"/>
              <w:start w:w="85" w:type="dxa"/>
              <w:bottom w:w="70" w:type="dxa"/>
              <w:end w:w="85" w:type="dxa"/>
            </w:tcMar>
          </w:tcPr>
          <w:p>
            <w:pPr>
              <w:spacing w:after="0"/>
            </w:pPr>
            <w:r>
              <w:rPr>
                <w:rFonts w:ascii="Arial" w:hAnsi="Arial"/>
                <w:sz w:val="18"/>
              </w:rPr>
              <w:t>0.134 ms</w:t>
            </w:r>
          </w:p>
        </w:tc>
      </w:tr>
    </w:tbl>
    <w:p>
      <w:pPr>
        <w:spacing w:after="0"/>
      </w:pPr>
    </w:p>
    <w:p>
      <w:r>
        <w:t>These are ideal analytical projections—not NVLink/RDMA measurements—and exclude protocol, synchronization, descriptor, verification, incast, and topology-conversion costs.</w:t>
      </w:r>
    </w:p>
    <w:p>
      <w:r>
        <w:t>This means the thesis should not argue that “a single hybrid session has too much mutable state to copy.” The stronger systems question is what happens when many sessions migrate concurrently or when state must be reshaped across topologies.</w:t>
      </w:r>
    </w:p>
    <w:p>
      <w:r>
        <w:t>For intuition only, 64 simultaneous Falcon-H1-like recurrent states would total ~1.72 GiB. Linear ideal transfer would be ~137 ms at 12.5 GB/s, ~34 ms at 50 GB/s, or ~8.6 ms at 200 GB/s before accounting for KV, contention, verification, and serving traffic. This is where a scheduler/admission-control problem can emerge.</w:t>
      </w:r>
    </w:p>
    <w:p>
      <w:pPr>
        <w:pStyle w:val="Heading1"/>
      </w:pPr>
      <w:r>
        <w:t>10. Next POC: real multi-GPU migration</w:t>
      </w:r>
    </w:p>
    <w:p>
      <w:r>
        <w:t>Do not build the full thesis system first. Build the following in order and stop if a gate fails.</w:t>
      </w:r>
    </w:p>
    <w:p>
      <w:pPr>
        <w:pStyle w:val="Heading2"/>
      </w:pPr>
      <w:r>
        <w:t>10.1 POC A — same-topology, one-session cross-GPU migration</w:t>
      </w:r>
    </w:p>
    <w:p>
      <w:pPr>
        <w:pStyle w:val="CompactBullet"/>
      </w:pPr>
      <w:r>
        <w:t>Minimum hardware: 2 NVIDIA GPUs. Same node preferred first.</w:t>
      </w:r>
    </w:p>
    <w:p>
      <w:pPr>
        <w:pStyle w:val="CompactBullet"/>
      </w:pPr>
      <w:r>
        <w:t>Run a hybrid model supported by vLLM (Mamba2/hybrid family).</w:t>
      </w:r>
    </w:p>
    <w:p>
      <w:pPr>
        <w:pStyle w:val="CompactBullet"/>
      </w:pPr>
      <w:r>
        <w:t>Decode on GPU A; pre-copy state; cut over at a token boundary; continue on GPU B.</w:t>
      </w:r>
    </w:p>
    <w:p>
      <w:pPr>
        <w:pStyle w:val="CompactBullet"/>
      </w:pPr>
      <w:r>
        <w:t>Measure correctness, total migration bytes, final pause, TPOT spike, and source/destination overhead.</w:t>
      </w:r>
    </w:p>
    <w:p>
      <w:pPr>
        <w:pStyle w:val="CompactBullet"/>
      </w:pPr>
      <w:r>
        <w:t>Baselines: stop-and-copy; full prompt replay/recompute; pre-copy + final state copy.</w:t>
      </w:r>
    </w:p>
    <w:p>
      <w:r>
        <w:t>GO if the migration is correct and the infrastructure can expose a clean token-boundary owner transfer. PIVOT if vLLM/NIXL already provides an equivalent active-decode path.</w:t>
      </w:r>
    </w:p>
    <w:p>
      <w:pPr>
        <w:pStyle w:val="Heading2"/>
      </w:pPr>
      <w:r>
        <w:t>10.2 POC B — many active sessions</w:t>
      </w:r>
    </w:p>
    <w:p>
      <w:pPr>
        <w:pStyle w:val="CompactBullet"/>
      </w:pPr>
      <w:r>
        <w:t>Migrate 1, 8, 16, 32, 64+ sessions under concurrent foreground decoding.</w:t>
      </w:r>
    </w:p>
    <w:p>
      <w:pPr>
        <w:pStyle w:val="CompactBullet"/>
      </w:pPr>
      <w:r>
        <w:t>Vary context length, output rate, migration arrival pattern, and available link bandwidth.</w:t>
      </w:r>
    </w:p>
    <w:p>
      <w:pPr>
        <w:pStyle w:val="CompactBullet"/>
      </w:pPr>
      <w:r>
        <w:t>Compare uncontrolled simultaneous migration vs bandwidth/SLO-aware admission.</w:t>
      </w:r>
    </w:p>
    <w:p>
      <w:pPr>
        <w:pStyle w:val="CompactBullet"/>
      </w:pPr>
      <w:r>
        <w:t>Measure p50/p95/p99 TPOT, SLO violations, migration completion time, network utilization, and goodput.</w:t>
      </w:r>
    </w:p>
    <w:p>
      <w:pPr>
        <w:pStyle w:val="CompactBullet"/>
      </w:pPr>
      <w:r>
        <w:t>Test burst migration cases such as node drain or load rebalance.</w:t>
      </w:r>
    </w:p>
    <w:p>
      <w:r>
        <w:t>This is now the recommended primary thesis mechanism. Single-session copy may be cheap; coordinated migration at fleet scale may not be.</w:t>
      </w:r>
    </w:p>
    <w:p>
      <w:pPr>
        <w:pStyle w:val="Heading2"/>
      </w:pPr>
      <w:r>
        <w:t>10.3 POC C — topology change (stretch / stronger paper)</w:t>
      </w:r>
    </w:p>
    <w:p>
      <w:pPr>
        <w:pStyle w:val="CompactBullet"/>
      </w:pPr>
      <w:r>
        <w:t>TP1 → TP2 requires at least 3 GPUs if the source must remain active while a 2-GPU destination is prepared.</w:t>
      </w:r>
    </w:p>
    <w:p>
      <w:pPr>
        <w:pStyle w:val="CompactBullet"/>
      </w:pPr>
      <w:r>
        <w:t>TP2 → TP2 live migration is cleaner with 4 GPUs.</w:t>
      </w:r>
    </w:p>
    <w:p>
      <w:pPr>
        <w:pStyle w:val="CompactBullet"/>
      </w:pPr>
      <w:r>
        <w:t>Reuse vLLM/NIXL heterogeneous-TP state-layout work where possible; the contribution is active-decode ownership transfer and scheduling, not reinventing state descriptors.</w:t>
      </w:r>
    </w:p>
    <w:p>
      <w:pPr>
        <w:pStyle w:val="CompactBullet"/>
      </w:pPr>
      <w:r>
        <w:t>Measure reshaping overhead, final pause, correctness, and whether topology change improves serving goodput after migration.</w:t>
      </w:r>
    </w:p>
    <w:p>
      <w:pPr>
        <w:pStyle w:val="Heading1"/>
      </w:pPr>
      <w:r>
        <w:t>11. Final evaluation plan</w:t>
      </w:r>
    </w:p>
    <w:tbl>
      <w:tblPr>
        <w:tblStyle w:val="TableGrid"/>
        <w:tblW w:type="auto" w:w="0"/>
        <w:jc w:val="center"/>
        <w:tblLayout w:type="fixed"/>
        <w:tblLook w:firstColumn="1" w:firstRow="1" w:lastColumn="0" w:lastRow="0" w:noHBand="0" w:noVBand="1" w:val="04A0"/>
      </w:tblPr>
      <w:tblGrid>
        <w:gridCol w:w="5083"/>
        <w:gridCol w:w="5083"/>
      </w:tblGrid>
      <w:tr>
        <w:tc>
          <w:tcPr>
            <w:tcW w:type="dxa" w:w="2520"/>
            <w:shd w:fill="F2F2F2"/>
            <w:vAlign w:val="center"/>
            <w:tcMar>
              <w:top w:w="70" w:type="dxa"/>
              <w:start w:w="85" w:type="dxa"/>
              <w:bottom w:w="70" w:type="dxa"/>
              <w:end w:w="85" w:type="dxa"/>
            </w:tcMar>
          </w:tcPr>
          <w:p>
            <w:pPr>
              <w:spacing w:after="0"/>
            </w:pPr>
            <w:r>
              <w:rPr>
                <w:rFonts w:ascii="Arial" w:hAnsi="Arial"/>
                <w:b/>
                <w:sz w:val="18"/>
              </w:rPr>
              <w:t>Dimension</w:t>
            </w:r>
          </w:p>
        </w:tc>
        <w:tc>
          <w:tcPr>
            <w:tcW w:type="dxa" w:w="7704"/>
            <w:shd w:fill="F2F2F2"/>
            <w:vAlign w:val="center"/>
            <w:tcMar>
              <w:top w:w="70" w:type="dxa"/>
              <w:start w:w="85" w:type="dxa"/>
              <w:bottom w:w="70" w:type="dxa"/>
              <w:end w:w="85" w:type="dxa"/>
            </w:tcMar>
          </w:tcPr>
          <w:p>
            <w:pPr>
              <w:spacing w:after="0"/>
            </w:pPr>
            <w:r>
              <w:rPr>
                <w:rFonts w:ascii="Arial" w:hAnsi="Arial"/>
                <w:b/>
                <w:sz w:val="18"/>
              </w:rPr>
              <w:t>Required measurements</w:t>
            </w:r>
          </w:p>
        </w:tc>
      </w:tr>
      <w:tr>
        <w:tc>
          <w:tcPr>
            <w:tcW w:type="dxa" w:w="2520"/>
            <w:vAlign w:val="center"/>
            <w:tcMar>
              <w:top w:w="70" w:type="dxa"/>
              <w:start w:w="85" w:type="dxa"/>
              <w:bottom w:w="70" w:type="dxa"/>
              <w:end w:w="85" w:type="dxa"/>
            </w:tcMar>
          </w:tcPr>
          <w:p>
            <w:pPr>
              <w:spacing w:after="0"/>
            </w:pPr>
            <w:r>
              <w:rPr>
                <w:rFonts w:ascii="Arial" w:hAnsi="Arial"/>
                <w:sz w:val="18"/>
              </w:rPr>
              <w:t>Correctness</w:t>
            </w:r>
          </w:p>
        </w:tc>
        <w:tc>
          <w:tcPr>
            <w:tcW w:type="dxa" w:w="7704"/>
            <w:vAlign w:val="center"/>
            <w:tcMar>
              <w:top w:w="70" w:type="dxa"/>
              <w:start w:w="85" w:type="dxa"/>
              <w:bottom w:w="70" w:type="dxa"/>
              <w:end w:w="85" w:type="dxa"/>
            </w:tcMar>
          </w:tcPr>
          <w:p>
            <w:pPr>
              <w:spacing w:after="0"/>
            </w:pPr>
            <w:r>
              <w:rPr>
                <w:rFonts w:ascii="Arial" w:hAnsi="Arial"/>
                <w:sz w:val="18"/>
              </w:rPr>
              <w:t>Same continuation under greedy decode; state/logit equality or documented tolerance; no duplicate/skipped token commit.</w:t>
            </w:r>
          </w:p>
        </w:tc>
      </w:tr>
      <w:tr>
        <w:tc>
          <w:tcPr>
            <w:tcW w:type="dxa" w:w="2520"/>
            <w:vAlign w:val="center"/>
            <w:tcMar>
              <w:top w:w="70" w:type="dxa"/>
              <w:start w:w="85" w:type="dxa"/>
              <w:bottom w:w="70" w:type="dxa"/>
              <w:end w:w="85" w:type="dxa"/>
            </w:tcMar>
          </w:tcPr>
          <w:p>
            <w:pPr>
              <w:spacing w:after="0"/>
            </w:pPr>
            <w:r>
              <w:rPr>
                <w:rFonts w:ascii="Arial" w:hAnsi="Arial"/>
                <w:sz w:val="18"/>
              </w:rPr>
              <w:t>User-visible interruption</w:t>
            </w:r>
          </w:p>
        </w:tc>
        <w:tc>
          <w:tcPr>
            <w:tcW w:type="dxa" w:w="7704"/>
            <w:vAlign w:val="center"/>
            <w:tcMar>
              <w:top w:w="70" w:type="dxa"/>
              <w:start w:w="85" w:type="dxa"/>
              <w:bottom w:w="70" w:type="dxa"/>
              <w:end w:w="85" w:type="dxa"/>
            </w:tcMar>
          </w:tcPr>
          <w:p>
            <w:pPr>
              <w:spacing w:after="0"/>
            </w:pPr>
            <w:r>
              <w:rPr>
                <w:rFonts w:ascii="Arial" w:hAnsi="Arial"/>
                <w:sz w:val="18"/>
              </w:rPr>
              <w:t>Migration pause, worst inter-token gap, p95/p99 TPOT during migration.</w:t>
            </w:r>
          </w:p>
        </w:tc>
      </w:tr>
      <w:tr>
        <w:tc>
          <w:tcPr>
            <w:tcW w:type="dxa" w:w="2520"/>
            <w:vAlign w:val="center"/>
            <w:tcMar>
              <w:top w:w="70" w:type="dxa"/>
              <w:start w:w="85" w:type="dxa"/>
              <w:bottom w:w="70" w:type="dxa"/>
              <w:end w:w="85" w:type="dxa"/>
            </w:tcMar>
          </w:tcPr>
          <w:p>
            <w:pPr>
              <w:spacing w:after="0"/>
            </w:pPr>
            <w:r>
              <w:rPr>
                <w:rFonts w:ascii="Arial" w:hAnsi="Arial"/>
                <w:sz w:val="18"/>
              </w:rPr>
              <w:t>Throughput / goodput</w:t>
            </w:r>
          </w:p>
        </w:tc>
        <w:tc>
          <w:tcPr>
            <w:tcW w:type="dxa" w:w="7704"/>
            <w:vAlign w:val="center"/>
            <w:tcMar>
              <w:top w:w="70" w:type="dxa"/>
              <w:start w:w="85" w:type="dxa"/>
              <w:bottom w:w="70" w:type="dxa"/>
              <w:end w:w="85" w:type="dxa"/>
            </w:tcMar>
          </w:tcPr>
          <w:p>
            <w:pPr>
              <w:spacing w:after="0"/>
            </w:pPr>
            <w:r>
              <w:rPr>
                <w:rFonts w:ascii="Arial" w:hAnsi="Arial"/>
                <w:sz w:val="18"/>
              </w:rPr>
              <w:t>Tokens/s, completed requests under SLO, foreground degradation during migrations.</w:t>
            </w:r>
          </w:p>
        </w:tc>
      </w:tr>
      <w:tr>
        <w:tc>
          <w:tcPr>
            <w:tcW w:type="dxa" w:w="2520"/>
            <w:vAlign w:val="center"/>
            <w:tcMar>
              <w:top w:w="70" w:type="dxa"/>
              <w:start w:w="85" w:type="dxa"/>
              <w:bottom w:w="70" w:type="dxa"/>
              <w:end w:w="85" w:type="dxa"/>
            </w:tcMar>
          </w:tcPr>
          <w:p>
            <w:pPr>
              <w:spacing w:after="0"/>
            </w:pPr>
            <w:r>
              <w:rPr>
                <w:rFonts w:ascii="Arial" w:hAnsi="Arial"/>
                <w:sz w:val="18"/>
              </w:rPr>
              <w:t>Migration efficiency</w:t>
            </w:r>
          </w:p>
        </w:tc>
        <w:tc>
          <w:tcPr>
            <w:tcW w:type="dxa" w:w="7704"/>
            <w:vAlign w:val="center"/>
            <w:tcMar>
              <w:top w:w="70" w:type="dxa"/>
              <w:start w:w="85" w:type="dxa"/>
              <w:bottom w:w="70" w:type="dxa"/>
              <w:end w:w="85" w:type="dxa"/>
            </w:tcMar>
          </w:tcPr>
          <w:p>
            <w:pPr>
              <w:spacing w:after="0"/>
            </w:pPr>
            <w:r>
              <w:rPr>
                <w:rFonts w:ascii="Arial" w:hAnsi="Arial"/>
                <w:sz w:val="18"/>
              </w:rPr>
              <w:t>Bytes transferred, bandwidth achieved, time to complete, CPU/GPU overhead.</w:t>
            </w:r>
          </w:p>
        </w:tc>
      </w:tr>
      <w:tr>
        <w:tc>
          <w:tcPr>
            <w:tcW w:type="dxa" w:w="2520"/>
            <w:vAlign w:val="center"/>
            <w:tcMar>
              <w:top w:w="70" w:type="dxa"/>
              <w:start w:w="85" w:type="dxa"/>
              <w:bottom w:w="70" w:type="dxa"/>
              <w:end w:w="85" w:type="dxa"/>
            </w:tcMar>
          </w:tcPr>
          <w:p>
            <w:pPr>
              <w:spacing w:after="0"/>
            </w:pPr>
            <w:r>
              <w:rPr>
                <w:rFonts w:ascii="Arial" w:hAnsi="Arial"/>
                <w:sz w:val="18"/>
              </w:rPr>
              <w:t>Scale</w:t>
            </w:r>
          </w:p>
        </w:tc>
        <w:tc>
          <w:tcPr>
            <w:tcW w:type="dxa" w:w="7704"/>
            <w:vAlign w:val="center"/>
            <w:tcMar>
              <w:top w:w="70" w:type="dxa"/>
              <w:start w:w="85" w:type="dxa"/>
              <w:bottom w:w="70" w:type="dxa"/>
              <w:end w:w="85" w:type="dxa"/>
            </w:tcMar>
          </w:tcPr>
          <w:p>
            <w:pPr>
              <w:spacing w:after="0"/>
            </w:pPr>
            <w:r>
              <w:rPr>
                <w:rFonts w:ascii="Arial" w:hAnsi="Arial"/>
                <w:sz w:val="18"/>
              </w:rPr>
              <w:t>Concurrent sessions migrated; request batch size; node-drain burst behavior.</w:t>
            </w:r>
          </w:p>
        </w:tc>
      </w:tr>
      <w:tr>
        <w:tc>
          <w:tcPr>
            <w:tcW w:type="dxa" w:w="2520"/>
            <w:vAlign w:val="center"/>
            <w:tcMar>
              <w:top w:w="70" w:type="dxa"/>
              <w:start w:w="85" w:type="dxa"/>
              <w:bottom w:w="70" w:type="dxa"/>
              <w:end w:w="85" w:type="dxa"/>
            </w:tcMar>
          </w:tcPr>
          <w:p>
            <w:pPr>
              <w:spacing w:after="0"/>
            </w:pPr>
            <w:r>
              <w:rPr>
                <w:rFonts w:ascii="Arial" w:hAnsi="Arial"/>
                <w:sz w:val="18"/>
              </w:rPr>
              <w:t>Context</w:t>
            </w:r>
          </w:p>
        </w:tc>
        <w:tc>
          <w:tcPr>
            <w:tcW w:type="dxa" w:w="7704"/>
            <w:vAlign w:val="center"/>
            <w:tcMar>
              <w:top w:w="70" w:type="dxa"/>
              <w:start w:w="85" w:type="dxa"/>
              <w:bottom w:w="70" w:type="dxa"/>
              <w:end w:w="85" w:type="dxa"/>
            </w:tcMar>
          </w:tcPr>
          <w:p>
            <w:pPr>
              <w:spacing w:after="0"/>
            </w:pPr>
            <w:r>
              <w:rPr>
                <w:rFonts w:ascii="Arial" w:hAnsi="Arial"/>
                <w:sz w:val="18"/>
              </w:rPr>
              <w:t>Short to long contexts to expose growing KV vs fixed recurrent state.</w:t>
            </w:r>
          </w:p>
        </w:tc>
      </w:tr>
      <w:tr>
        <w:tc>
          <w:tcPr>
            <w:tcW w:type="dxa" w:w="2520"/>
            <w:vAlign w:val="center"/>
            <w:tcMar>
              <w:top w:w="70" w:type="dxa"/>
              <w:start w:w="85" w:type="dxa"/>
              <w:bottom w:w="70" w:type="dxa"/>
              <w:end w:w="85" w:type="dxa"/>
            </w:tcMar>
          </w:tcPr>
          <w:p>
            <w:pPr>
              <w:spacing w:after="0"/>
            </w:pPr>
            <w:r>
              <w:rPr>
                <w:rFonts w:ascii="Arial" w:hAnsi="Arial"/>
                <w:sz w:val="18"/>
              </w:rPr>
              <w:t>Topology</w:t>
            </w:r>
          </w:p>
        </w:tc>
        <w:tc>
          <w:tcPr>
            <w:tcW w:type="dxa" w:w="7704"/>
            <w:vAlign w:val="center"/>
            <w:tcMar>
              <w:top w:w="70" w:type="dxa"/>
              <w:start w:w="85" w:type="dxa"/>
              <w:bottom w:w="70" w:type="dxa"/>
              <w:end w:w="85" w:type="dxa"/>
            </w:tcMar>
          </w:tcPr>
          <w:p>
            <w:pPr>
              <w:spacing w:after="0"/>
            </w:pPr>
            <w:r>
              <w:rPr>
                <w:rFonts w:ascii="Arial" w:hAnsi="Arial"/>
                <w:sz w:val="18"/>
              </w:rPr>
              <w:t>Same TP first; heterogeneous TP as stretch.</w:t>
            </w:r>
          </w:p>
        </w:tc>
      </w:tr>
      <w:tr>
        <w:tc>
          <w:tcPr>
            <w:tcW w:type="dxa" w:w="2520"/>
            <w:vAlign w:val="center"/>
            <w:tcMar>
              <w:top w:w="70" w:type="dxa"/>
              <w:start w:w="85" w:type="dxa"/>
              <w:bottom w:w="70" w:type="dxa"/>
              <w:end w:w="85" w:type="dxa"/>
            </w:tcMar>
          </w:tcPr>
          <w:p>
            <w:pPr>
              <w:spacing w:after="0"/>
            </w:pPr>
            <w:r>
              <w:rPr>
                <w:rFonts w:ascii="Arial" w:hAnsi="Arial"/>
                <w:sz w:val="18"/>
              </w:rPr>
              <w:t>Failure behavior</w:t>
            </w:r>
          </w:p>
        </w:tc>
        <w:tc>
          <w:tcPr>
            <w:tcW w:type="dxa" w:w="7704"/>
            <w:vAlign w:val="center"/>
            <w:tcMar>
              <w:top w:w="70" w:type="dxa"/>
              <w:start w:w="85" w:type="dxa"/>
              <w:bottom w:w="70" w:type="dxa"/>
              <w:end w:w="85" w:type="dxa"/>
            </w:tcMar>
          </w:tcPr>
          <w:p>
            <w:pPr>
              <w:spacing w:after="0"/>
            </w:pPr>
            <w:r>
              <w:rPr>
                <w:rFonts w:ascii="Arial" w:hAnsi="Arial"/>
                <w:sz w:val="18"/>
              </w:rPr>
              <w:t>Abort/rollback if destination validation or transfer fails before ownership commit.</w:t>
            </w:r>
          </w:p>
        </w:tc>
      </w:tr>
    </w:tbl>
    <w:p>
      <w:pPr>
        <w:spacing w:after="0"/>
      </w:pPr>
    </w:p>
    <w:p>
      <w:r>
        <w:t>Recommended baselines:</w:t>
      </w:r>
    </w:p>
    <w:p>
      <w:pPr>
        <w:pStyle w:val="CompactBullet"/>
      </w:pPr>
      <w:r>
        <w:t>No migration / pinned request.</w:t>
      </w:r>
    </w:p>
    <w:p>
      <w:pPr>
        <w:pStyle w:val="CompactBullet"/>
      </w:pPr>
      <w:r>
        <w:t>Stop-and-copy all state.</w:t>
      </w:r>
    </w:p>
    <w:p>
      <w:pPr>
        <w:pStyle w:val="CompactBullet"/>
      </w:pPr>
      <w:r>
        <w:t>Prompt replay/recompute at destination.</w:t>
      </w:r>
    </w:p>
    <w:p>
      <w:pPr>
        <w:pStyle w:val="CompactBullet"/>
      </w:pPr>
      <w:r>
        <w:t>Transformer-style pre-copy adapted to hybrid state: pre-copy KV, stop and copy recurrent state.</w:t>
      </w:r>
    </w:p>
    <w:p>
      <w:pPr>
        <w:pStyle w:val="CompactBullet"/>
      </w:pPr>
      <w:r>
        <w:t>Checkpoint + bounded replay (ReplaySSM-inspired) if supported.</w:t>
      </w:r>
    </w:p>
    <w:p>
      <w:pPr>
        <w:pStyle w:val="CompactBullet"/>
      </w:pPr>
      <w:r>
        <w:t>Our admission-controlled / topology-aware migration mechanism.</w:t>
      </w:r>
    </w:p>
    <w:p>
      <w:pPr>
        <w:pStyle w:val="Heading1"/>
      </w:pPr>
      <w:r>
        <w:t>12. GO / PIVOT / KILL gates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88"/>
            <w:shd w:fill="F2F2F2"/>
            <w:vAlign w:val="center"/>
            <w:tcMar>
              <w:top w:w="70" w:type="dxa"/>
              <w:start w:w="85" w:type="dxa"/>
              <w:bottom w:w="70" w:type="dxa"/>
              <w:end w:w="85" w:type="dxa"/>
            </w:tcMar>
          </w:tcPr>
          <w:p>
            <w:pPr>
              <w:spacing w:after="0"/>
            </w:pPr>
            <w:r>
              <w:rPr>
                <w:rFonts w:ascii="Arial" w:hAnsi="Arial"/>
                <w:b/>
                <w:sz w:val="17"/>
              </w:rPr>
              <w:t>Gate</w:t>
            </w:r>
          </w:p>
        </w:tc>
        <w:tc>
          <w:tcPr>
            <w:tcW w:type="dxa" w:w="4032"/>
            <w:shd w:fill="F2F2F2"/>
            <w:vAlign w:val="center"/>
            <w:tcMar>
              <w:top w:w="70" w:type="dxa"/>
              <w:start w:w="85" w:type="dxa"/>
              <w:bottom w:w="70" w:type="dxa"/>
              <w:end w:w="85" w:type="dxa"/>
            </w:tcMar>
          </w:tcPr>
          <w:p>
            <w:pPr>
              <w:spacing w:after="0"/>
            </w:pPr>
            <w:r>
              <w:rPr>
                <w:rFonts w:ascii="Arial" w:hAnsi="Arial"/>
                <w:b/>
                <w:sz w:val="17"/>
              </w:rPr>
              <w:t>GO</w:t>
            </w:r>
          </w:p>
        </w:tc>
        <w:tc>
          <w:tcPr>
            <w:tcW w:type="dxa" w:w="4104"/>
            <w:shd w:fill="F2F2F2"/>
            <w:vAlign w:val="center"/>
            <w:tcMar>
              <w:top w:w="70" w:type="dxa"/>
              <w:start w:w="85" w:type="dxa"/>
              <w:bottom w:w="70" w:type="dxa"/>
              <w:end w:w="85" w:type="dxa"/>
            </w:tcMar>
          </w:tcPr>
          <w:p>
            <w:pPr>
              <w:spacing w:after="0"/>
            </w:pPr>
            <w:r>
              <w:rPr>
                <w:rFonts w:ascii="Arial" w:hAnsi="Arial"/>
                <w:b/>
                <w:sz w:val="17"/>
              </w:rPr>
              <w:t>PIVOT / KILL</w:t>
            </w:r>
          </w:p>
        </w:tc>
      </w:tr>
      <w:tr>
        <w:tc>
          <w:tcPr>
            <w:tcW w:type="dxa" w:w="2088"/>
            <w:vAlign w:val="center"/>
            <w:tcMar>
              <w:top w:w="70" w:type="dxa"/>
              <w:start w:w="85" w:type="dxa"/>
              <w:bottom w:w="70" w:type="dxa"/>
              <w:end w:w="85" w:type="dxa"/>
            </w:tcMar>
          </w:tcPr>
          <w:p>
            <w:pPr>
              <w:spacing w:after="0"/>
            </w:pPr>
            <w:r>
              <w:rPr>
                <w:rFonts w:ascii="Arial" w:hAnsi="Arial"/>
                <w:sz w:val="17"/>
              </w:rPr>
              <w:t>Novelty scan</w:t>
            </w:r>
          </w:p>
        </w:tc>
        <w:tc>
          <w:tcPr>
            <w:tcW w:type="dxa" w:w="4032"/>
            <w:vAlign w:val="center"/>
            <w:tcMar>
              <w:top w:w="70" w:type="dxa"/>
              <w:start w:w="85" w:type="dxa"/>
              <w:bottom w:w="70" w:type="dxa"/>
              <w:end w:w="85" w:type="dxa"/>
            </w:tcMar>
          </w:tcPr>
          <w:p>
            <w:pPr>
              <w:spacing w:after="0"/>
            </w:pPr>
            <w:r>
              <w:rPr>
                <w:rFonts w:ascii="Arial" w:hAnsi="Arial"/>
                <w:sz w:val="17"/>
              </w:rPr>
              <w:t>No public system already demonstrates active hybrid decode-owner migration at our target scope.</w:t>
            </w:r>
          </w:p>
        </w:tc>
        <w:tc>
          <w:tcPr>
            <w:tcW w:type="dxa" w:w="4104"/>
            <w:vAlign w:val="center"/>
            <w:tcMar>
              <w:top w:w="70" w:type="dxa"/>
              <w:start w:w="85" w:type="dxa"/>
              <w:bottom w:w="70" w:type="dxa"/>
              <w:end w:w="85" w:type="dxa"/>
            </w:tcMar>
          </w:tcPr>
          <w:p>
            <w:pPr>
              <w:spacing w:after="0"/>
            </w:pPr>
            <w:r>
              <w:rPr>
                <w:rFonts w:ascii="Arial" w:hAnsi="Arial"/>
                <w:sz w:val="17"/>
              </w:rPr>
              <w:t>Equivalent system/PR lands before implementation.</w:t>
            </w:r>
          </w:p>
        </w:tc>
      </w:tr>
      <w:tr>
        <w:tc>
          <w:tcPr>
            <w:tcW w:type="dxa" w:w="2088"/>
            <w:vAlign w:val="center"/>
            <w:tcMar>
              <w:top w:w="70" w:type="dxa"/>
              <w:start w:w="85" w:type="dxa"/>
              <w:bottom w:w="70" w:type="dxa"/>
              <w:end w:w="85" w:type="dxa"/>
            </w:tcMar>
          </w:tcPr>
          <w:p>
            <w:pPr>
              <w:spacing w:after="0"/>
            </w:pPr>
            <w:r>
              <w:rPr>
                <w:rFonts w:ascii="Arial" w:hAnsi="Arial"/>
                <w:sz w:val="17"/>
              </w:rPr>
              <w:t>Single-session POC</w:t>
            </w:r>
          </w:p>
        </w:tc>
        <w:tc>
          <w:tcPr>
            <w:tcW w:type="dxa" w:w="4032"/>
            <w:vAlign w:val="center"/>
            <w:tcMar>
              <w:top w:w="70" w:type="dxa"/>
              <w:start w:w="85" w:type="dxa"/>
              <w:bottom w:w="70" w:type="dxa"/>
              <w:end w:w="85" w:type="dxa"/>
            </w:tcMar>
          </w:tcPr>
          <w:p>
            <w:pPr>
              <w:spacing w:after="0"/>
            </w:pPr>
            <w:r>
              <w:rPr>
                <w:rFonts w:ascii="Arial" w:hAnsi="Arial"/>
                <w:sz w:val="17"/>
              </w:rPr>
              <w:t>Correct continuation; final pause measurable and controllable.</w:t>
            </w:r>
          </w:p>
        </w:tc>
        <w:tc>
          <w:tcPr>
            <w:tcW w:type="dxa" w:w="4104"/>
            <w:vAlign w:val="center"/>
            <w:tcMar>
              <w:top w:w="70" w:type="dxa"/>
              <w:start w:w="85" w:type="dxa"/>
              <w:bottom w:w="70" w:type="dxa"/>
              <w:end w:w="85" w:type="dxa"/>
            </w:tcMar>
          </w:tcPr>
          <w:p>
            <w:pPr>
              <w:spacing w:after="0"/>
            </w:pPr>
            <w:r>
              <w:rPr>
                <w:rFonts w:ascii="Arial" w:hAnsi="Arial"/>
                <w:sz w:val="17"/>
              </w:rPr>
              <w:t>State cannot be safely extracted/installed or runtime integration is infeasible.</w:t>
            </w:r>
          </w:p>
        </w:tc>
      </w:tr>
      <w:tr>
        <w:tc>
          <w:tcPr>
            <w:tcW w:type="dxa" w:w="2088"/>
            <w:vAlign w:val="center"/>
            <w:tcMar>
              <w:top w:w="70" w:type="dxa"/>
              <w:start w:w="85" w:type="dxa"/>
              <w:bottom w:w="70" w:type="dxa"/>
              <w:end w:w="85" w:type="dxa"/>
            </w:tcMar>
          </w:tcPr>
          <w:p>
            <w:pPr>
              <w:spacing w:after="0"/>
            </w:pPr>
            <w:r>
              <w:rPr>
                <w:rFonts w:ascii="Arial" w:hAnsi="Arial"/>
                <w:sz w:val="17"/>
              </w:rPr>
              <w:t>Scale value</w:t>
            </w:r>
          </w:p>
        </w:tc>
        <w:tc>
          <w:tcPr>
            <w:tcW w:type="dxa" w:w="4032"/>
            <w:vAlign w:val="center"/>
            <w:tcMar>
              <w:top w:w="70" w:type="dxa"/>
              <w:start w:w="85" w:type="dxa"/>
              <w:bottom w:w="70" w:type="dxa"/>
              <w:end w:w="85" w:type="dxa"/>
            </w:tcMar>
          </w:tcPr>
          <w:p>
            <w:pPr>
              <w:spacing w:after="0"/>
            </w:pPr>
            <w:r>
              <w:rPr>
                <w:rFonts w:ascii="Arial" w:hAnsi="Arial"/>
                <w:sz w:val="17"/>
              </w:rPr>
              <w:t>Concurrent migration creates meaningful SLO/network pressure and our policy improves it.</w:t>
            </w:r>
          </w:p>
        </w:tc>
        <w:tc>
          <w:tcPr>
            <w:tcW w:type="dxa" w:w="4104"/>
            <w:vAlign w:val="center"/>
            <w:tcMar>
              <w:top w:w="70" w:type="dxa"/>
              <w:start w:w="85" w:type="dxa"/>
              <w:bottom w:w="70" w:type="dxa"/>
              <w:end w:w="85" w:type="dxa"/>
            </w:tcMar>
          </w:tcPr>
          <w:p>
            <w:pPr>
              <w:spacing w:after="0"/>
            </w:pPr>
            <w:r>
              <w:rPr>
                <w:rFonts w:ascii="Arial" w:hAnsi="Arial"/>
                <w:sz w:val="17"/>
              </w:rPr>
              <w:t>Naive migration remains negligible even under realistic multi-session load.</w:t>
            </w:r>
          </w:p>
        </w:tc>
      </w:tr>
      <w:tr>
        <w:tc>
          <w:tcPr>
            <w:tcW w:type="dxa" w:w="2088"/>
            <w:vAlign w:val="center"/>
            <w:tcMar>
              <w:top w:w="70" w:type="dxa"/>
              <w:start w:w="85" w:type="dxa"/>
              <w:bottom w:w="70" w:type="dxa"/>
              <w:end w:w="85" w:type="dxa"/>
            </w:tcMar>
          </w:tcPr>
          <w:p>
            <w:pPr>
              <w:spacing w:after="0"/>
            </w:pPr>
            <w:r>
              <w:rPr>
                <w:rFonts w:ascii="Arial" w:hAnsi="Arial"/>
                <w:sz w:val="17"/>
              </w:rPr>
              <w:t>Topology value</w:t>
            </w:r>
          </w:p>
        </w:tc>
        <w:tc>
          <w:tcPr>
            <w:tcW w:type="dxa" w:w="4032"/>
            <w:vAlign w:val="center"/>
            <w:tcMar>
              <w:top w:w="70" w:type="dxa"/>
              <w:start w:w="85" w:type="dxa"/>
              <w:bottom w:w="70" w:type="dxa"/>
              <w:end w:w="85" w:type="dxa"/>
            </w:tcMar>
          </w:tcPr>
          <w:p>
            <w:pPr>
              <w:spacing w:after="0"/>
            </w:pPr>
            <w:r>
              <w:rPr>
                <w:rFonts w:ascii="Arial" w:hAnsi="Arial"/>
                <w:sz w:val="17"/>
              </w:rPr>
              <w:t>Resharding while live provides useful elasticity benefit.</w:t>
            </w:r>
          </w:p>
        </w:tc>
        <w:tc>
          <w:tcPr>
            <w:tcW w:type="dxa" w:w="4104"/>
            <w:vAlign w:val="center"/>
            <w:tcMar>
              <w:top w:w="70" w:type="dxa"/>
              <w:start w:w="85" w:type="dxa"/>
              <w:bottom w:w="70" w:type="dxa"/>
              <w:end w:w="85" w:type="dxa"/>
            </w:tcMar>
          </w:tcPr>
          <w:p>
            <w:pPr>
              <w:spacing w:after="0"/>
            </w:pPr>
            <w:r>
              <w:rPr>
                <w:rFonts w:ascii="Arial" w:hAnsi="Arial"/>
                <w:sz w:val="17"/>
              </w:rPr>
              <w:t>Topology change adds engineering complexity without serving benefit.</w:t>
            </w:r>
          </w:p>
        </w:tc>
      </w:tr>
      <w:tr>
        <w:tc>
          <w:tcPr>
            <w:tcW w:type="dxa" w:w="2088"/>
            <w:vAlign w:val="center"/>
            <w:tcMar>
              <w:top w:w="70" w:type="dxa"/>
              <w:start w:w="85" w:type="dxa"/>
              <w:bottom w:w="70" w:type="dxa"/>
              <w:end w:w="85" w:type="dxa"/>
            </w:tcMar>
          </w:tcPr>
          <w:p>
            <w:pPr>
              <w:spacing w:after="0"/>
            </w:pPr>
            <w:r>
              <w:rPr>
                <w:rFonts w:ascii="Arial" w:hAnsi="Arial"/>
                <w:sz w:val="17"/>
              </w:rPr>
              <w:t>Paper story</w:t>
            </w:r>
          </w:p>
        </w:tc>
        <w:tc>
          <w:tcPr>
            <w:tcW w:type="dxa" w:w="4032"/>
            <w:vAlign w:val="center"/>
            <w:tcMar>
              <w:top w:w="70" w:type="dxa"/>
              <w:start w:w="85" w:type="dxa"/>
              <w:bottom w:w="70" w:type="dxa"/>
              <w:end w:w="85" w:type="dxa"/>
            </w:tcMar>
          </w:tcPr>
          <w:p>
            <w:pPr>
              <w:spacing w:after="0"/>
            </w:pPr>
            <w:r>
              <w:rPr>
                <w:rFonts w:ascii="Arial" w:hAnsi="Arial"/>
                <w:sz w:val="17"/>
              </w:rPr>
              <w:t>Clear mechanism + nontrivial system result + strong baseline wins.</w:t>
            </w:r>
          </w:p>
        </w:tc>
        <w:tc>
          <w:tcPr>
            <w:tcW w:type="dxa" w:w="4104"/>
            <w:vAlign w:val="center"/>
            <w:tcMar>
              <w:top w:w="70" w:type="dxa"/>
              <w:start w:w="85" w:type="dxa"/>
              <w:bottom w:w="70" w:type="dxa"/>
              <w:end w:w="85" w:type="dxa"/>
            </w:tcMar>
          </w:tcPr>
          <w:p>
            <w:pPr>
              <w:spacing w:after="0"/>
            </w:pPr>
            <w:r>
              <w:rPr>
                <w:rFonts w:ascii="Arial" w:hAnsi="Arial"/>
                <w:sz w:val="17"/>
              </w:rPr>
              <w:t>Only integration/plumbing remains with no meaningful performance or correctness contribution.</w:t>
            </w:r>
          </w:p>
        </w:tc>
      </w:tr>
    </w:tbl>
    <w:p>
      <w:pPr>
        <w:spacing w:after="0"/>
      </w:pPr>
    </w:p>
    <w:p>
      <w:pPr>
        <w:pStyle w:val="Heading1"/>
      </w:pPr>
      <w:r>
        <w:t>13. Engineering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304"/>
            <w:shd w:fill="F2F2F2"/>
            <w:vAlign w:val="center"/>
            <w:tcMar>
              <w:top w:w="70" w:type="dxa"/>
              <w:start w:w="85" w:type="dxa"/>
              <w:bottom w:w="70" w:type="dxa"/>
              <w:end w:w="85" w:type="dxa"/>
            </w:tcMar>
          </w:tcPr>
          <w:p>
            <w:pPr>
              <w:spacing w:after="0"/>
            </w:pPr>
            <w:r>
              <w:rPr>
                <w:rFonts w:ascii="Arial" w:hAnsi="Arial"/>
                <w:b/>
                <w:sz w:val="17"/>
              </w:rPr>
              <w:t>Stage</w:t>
            </w:r>
          </w:p>
        </w:tc>
        <w:tc>
          <w:tcPr>
            <w:tcW w:type="dxa" w:w="2232"/>
            <w:shd w:fill="F2F2F2"/>
            <w:vAlign w:val="center"/>
            <w:tcMar>
              <w:top w:w="70" w:type="dxa"/>
              <w:start w:w="85" w:type="dxa"/>
              <w:bottom w:w="70" w:type="dxa"/>
              <w:end w:w="85" w:type="dxa"/>
            </w:tcMar>
          </w:tcPr>
          <w:p>
            <w:pPr>
              <w:spacing w:after="0"/>
            </w:pPr>
            <w:r>
              <w:rPr>
                <w:rFonts w:ascii="Arial" w:hAnsi="Arial"/>
                <w:b/>
                <w:sz w:val="17"/>
              </w:rPr>
              <w:t>Hardware</w:t>
            </w:r>
          </w:p>
        </w:tc>
        <w:tc>
          <w:tcPr>
            <w:tcW w:type="dxa" w:w="5688"/>
            <w:shd w:fill="F2F2F2"/>
            <w:vAlign w:val="center"/>
            <w:tcMar>
              <w:top w:w="70" w:type="dxa"/>
              <w:start w:w="85" w:type="dxa"/>
              <w:bottom w:w="70" w:type="dxa"/>
              <w:end w:w="85" w:type="dxa"/>
            </w:tcMar>
          </w:tcPr>
          <w:p>
            <w:pPr>
              <w:spacing w:after="0"/>
            </w:pPr>
            <w:r>
              <w:rPr>
                <w:rFonts w:ascii="Arial" w:hAnsi="Arial"/>
                <w:b/>
                <w:sz w:val="17"/>
              </w:rPr>
              <w:t>Software / skills</w:t>
            </w:r>
          </w:p>
        </w:tc>
      </w:tr>
      <w:tr>
        <w:tc>
          <w:tcPr>
            <w:tcW w:type="dxa" w:w="2304"/>
            <w:vAlign w:val="center"/>
            <w:tcMar>
              <w:top w:w="70" w:type="dxa"/>
              <w:start w:w="85" w:type="dxa"/>
              <w:bottom w:w="70" w:type="dxa"/>
              <w:end w:w="85" w:type="dxa"/>
            </w:tcMar>
          </w:tcPr>
          <w:p>
            <w:pPr>
              <w:spacing w:after="0"/>
            </w:pPr>
            <w:r>
              <w:rPr>
                <w:rFonts w:ascii="Arial" w:hAnsi="Arial"/>
                <w:sz w:val="17"/>
              </w:rPr>
              <w:t>Local validation — done</w:t>
            </w:r>
          </w:p>
        </w:tc>
        <w:tc>
          <w:tcPr>
            <w:tcW w:type="dxa" w:w="2232"/>
            <w:vAlign w:val="center"/>
            <w:tcMar>
              <w:top w:w="70" w:type="dxa"/>
              <w:start w:w="85" w:type="dxa"/>
              <w:bottom w:w="70" w:type="dxa"/>
              <w:end w:w="85" w:type="dxa"/>
            </w:tcMar>
          </w:tcPr>
          <w:p>
            <w:pPr>
              <w:spacing w:after="0"/>
            </w:pPr>
            <w:r>
              <w:rPr>
                <w:rFonts w:ascii="Arial" w:hAnsi="Arial"/>
                <w:sz w:val="17"/>
              </w:rPr>
              <w:t>M4 MacBook Air, 16 GB unified memory</w:t>
            </w:r>
          </w:p>
        </w:tc>
        <w:tc>
          <w:tcPr>
            <w:tcW w:type="dxa" w:w="5688"/>
            <w:vAlign w:val="center"/>
            <w:tcMar>
              <w:top w:w="70" w:type="dxa"/>
              <w:start w:w="85" w:type="dxa"/>
              <w:bottom w:w="70" w:type="dxa"/>
              <w:end w:w="85" w:type="dxa"/>
            </w:tcMar>
          </w:tcPr>
          <w:p>
            <w:pPr>
              <w:spacing w:after="0"/>
            </w:pPr>
            <w:r>
              <w:rPr>
                <w:rFonts w:ascii="Arial" w:hAnsi="Arial"/>
                <w:sz w:val="17"/>
              </w:rPr>
              <w:t>PyTorch/MPS, Transformers, Falcon-H1 state inspection.</w:t>
            </w:r>
          </w:p>
        </w:tc>
      </w:tr>
      <w:tr>
        <w:tc>
          <w:tcPr>
            <w:tcW w:type="dxa" w:w="2304"/>
            <w:vAlign w:val="center"/>
            <w:tcMar>
              <w:top w:w="70" w:type="dxa"/>
              <w:start w:w="85" w:type="dxa"/>
              <w:bottom w:w="70" w:type="dxa"/>
              <w:end w:w="85" w:type="dxa"/>
            </w:tcMar>
          </w:tcPr>
          <w:p>
            <w:pPr>
              <w:spacing w:after="0"/>
            </w:pPr>
            <w:r>
              <w:rPr>
                <w:rFonts w:ascii="Arial" w:hAnsi="Arial"/>
                <w:sz w:val="17"/>
              </w:rPr>
              <w:t>POC A</w:t>
            </w:r>
          </w:p>
        </w:tc>
        <w:tc>
          <w:tcPr>
            <w:tcW w:type="dxa" w:w="2232"/>
            <w:vAlign w:val="center"/>
            <w:tcMar>
              <w:top w:w="70" w:type="dxa"/>
              <w:start w:w="85" w:type="dxa"/>
              <w:bottom w:w="70" w:type="dxa"/>
              <w:end w:w="85" w:type="dxa"/>
            </w:tcMar>
          </w:tcPr>
          <w:p>
            <w:pPr>
              <w:spacing w:after="0"/>
            </w:pPr>
            <w:r>
              <w:rPr>
                <w:rFonts w:ascii="Arial" w:hAnsi="Arial"/>
                <w:sz w:val="17"/>
              </w:rPr>
              <w:t>2 NVIDIA GPUs</w:t>
            </w:r>
          </w:p>
        </w:tc>
        <w:tc>
          <w:tcPr>
            <w:tcW w:type="dxa" w:w="5688"/>
            <w:vAlign w:val="center"/>
            <w:tcMar>
              <w:top w:w="70" w:type="dxa"/>
              <w:start w:w="85" w:type="dxa"/>
              <w:bottom w:w="70" w:type="dxa"/>
              <w:end w:w="85" w:type="dxa"/>
            </w:tcMar>
          </w:tcPr>
          <w:p>
            <w:pPr>
              <w:spacing w:after="0"/>
            </w:pPr>
            <w:r>
              <w:rPr>
                <w:rFonts w:ascii="Arial" w:hAnsi="Arial"/>
                <w:sz w:val="17"/>
              </w:rPr>
              <w:t>vLLM internals, PyTorch/CUDA, NIXL or GPU transfer path, deterministic decode instrumentation.</w:t>
            </w:r>
          </w:p>
        </w:tc>
      </w:tr>
      <w:tr>
        <w:tc>
          <w:tcPr>
            <w:tcW w:type="dxa" w:w="2304"/>
            <w:vAlign w:val="center"/>
            <w:tcMar>
              <w:top w:w="70" w:type="dxa"/>
              <w:start w:w="85" w:type="dxa"/>
              <w:bottom w:w="70" w:type="dxa"/>
              <w:end w:w="85" w:type="dxa"/>
            </w:tcMar>
          </w:tcPr>
          <w:p>
            <w:pPr>
              <w:spacing w:after="0"/>
            </w:pPr>
            <w:r>
              <w:rPr>
                <w:rFonts w:ascii="Arial" w:hAnsi="Arial"/>
                <w:sz w:val="17"/>
              </w:rPr>
              <w:t>POC B</w:t>
            </w:r>
          </w:p>
        </w:tc>
        <w:tc>
          <w:tcPr>
            <w:tcW w:type="dxa" w:w="2232"/>
            <w:vAlign w:val="center"/>
            <w:tcMar>
              <w:top w:w="70" w:type="dxa"/>
              <w:start w:w="85" w:type="dxa"/>
              <w:bottom w:w="70" w:type="dxa"/>
              <w:end w:w="85" w:type="dxa"/>
            </w:tcMar>
          </w:tcPr>
          <w:p>
            <w:pPr>
              <w:spacing w:after="0"/>
            </w:pPr>
            <w:r>
              <w:rPr>
                <w:rFonts w:ascii="Arial" w:hAnsi="Arial"/>
                <w:sz w:val="17"/>
              </w:rPr>
              <w:t>2–4+ GPUs</w:t>
            </w:r>
          </w:p>
        </w:tc>
        <w:tc>
          <w:tcPr>
            <w:tcW w:type="dxa" w:w="5688"/>
            <w:vAlign w:val="center"/>
            <w:tcMar>
              <w:top w:w="70" w:type="dxa"/>
              <w:start w:w="85" w:type="dxa"/>
              <w:bottom w:w="70" w:type="dxa"/>
              <w:end w:w="85" w:type="dxa"/>
            </w:tcMar>
          </w:tcPr>
          <w:p>
            <w:pPr>
              <w:spacing w:after="0"/>
            </w:pPr>
            <w:r>
              <w:rPr>
                <w:rFonts w:ascii="Arial" w:hAnsi="Arial"/>
                <w:sz w:val="17"/>
              </w:rPr>
              <w:t>Multi-replica serving, workload generator, network/GPU profiling, migration admission controller.</w:t>
            </w:r>
          </w:p>
        </w:tc>
      </w:tr>
      <w:tr>
        <w:tc>
          <w:tcPr>
            <w:tcW w:type="dxa" w:w="2304"/>
            <w:vAlign w:val="center"/>
            <w:tcMar>
              <w:top w:w="70" w:type="dxa"/>
              <w:start w:w="85" w:type="dxa"/>
              <w:bottom w:w="70" w:type="dxa"/>
              <w:end w:w="85" w:type="dxa"/>
            </w:tcMar>
          </w:tcPr>
          <w:p>
            <w:pPr>
              <w:spacing w:after="0"/>
            </w:pPr>
            <w:r>
              <w:rPr>
                <w:rFonts w:ascii="Arial" w:hAnsi="Arial"/>
                <w:sz w:val="17"/>
              </w:rPr>
              <w:t>POC C</w:t>
            </w:r>
          </w:p>
        </w:tc>
        <w:tc>
          <w:tcPr>
            <w:tcW w:type="dxa" w:w="2232"/>
            <w:vAlign w:val="center"/>
            <w:tcMar>
              <w:top w:w="70" w:type="dxa"/>
              <w:start w:w="85" w:type="dxa"/>
              <w:bottom w:w="70" w:type="dxa"/>
              <w:end w:w="85" w:type="dxa"/>
            </w:tcMar>
          </w:tcPr>
          <w:p>
            <w:pPr>
              <w:spacing w:after="0"/>
            </w:pPr>
            <w:r>
              <w:rPr>
                <w:rFonts w:ascii="Arial" w:hAnsi="Arial"/>
                <w:sz w:val="17"/>
              </w:rPr>
              <w:t>3–4+ GPUs</w:t>
            </w:r>
          </w:p>
        </w:tc>
        <w:tc>
          <w:tcPr>
            <w:tcW w:type="dxa" w:w="5688"/>
            <w:vAlign w:val="center"/>
            <w:tcMar>
              <w:top w:w="70" w:type="dxa"/>
              <w:start w:w="85" w:type="dxa"/>
              <w:bottom w:w="70" w:type="dxa"/>
              <w:end w:w="85" w:type="dxa"/>
            </w:tcMar>
          </w:tcPr>
          <w:p>
            <w:pPr>
              <w:spacing w:after="0"/>
            </w:pPr>
            <w:r>
              <w:rPr>
                <w:rFonts w:ascii="Arial" w:hAnsi="Arial"/>
                <w:sz w:val="17"/>
              </w:rPr>
              <w:t>NCCL/NIXL, TP state layout, resharding, vLLM hybrid memory allocator internals.</w:t>
            </w:r>
          </w:p>
        </w:tc>
      </w:tr>
      <w:tr>
        <w:tc>
          <w:tcPr>
            <w:tcW w:type="dxa" w:w="2304"/>
            <w:vAlign w:val="center"/>
            <w:tcMar>
              <w:top w:w="70" w:type="dxa"/>
              <w:start w:w="85" w:type="dxa"/>
              <w:bottom w:w="70" w:type="dxa"/>
              <w:end w:w="85" w:type="dxa"/>
            </w:tcMar>
          </w:tcPr>
          <w:p>
            <w:pPr>
              <w:spacing w:after="0"/>
            </w:pPr>
            <w:r>
              <w:rPr>
                <w:rFonts w:ascii="Arial" w:hAnsi="Arial"/>
                <w:sz w:val="17"/>
              </w:rPr>
              <w:t>Final paper</w:t>
            </w:r>
          </w:p>
        </w:tc>
        <w:tc>
          <w:tcPr>
            <w:tcW w:type="dxa" w:w="2232"/>
            <w:vAlign w:val="center"/>
            <w:tcMar>
              <w:top w:w="70" w:type="dxa"/>
              <w:start w:w="85" w:type="dxa"/>
              <w:bottom w:w="70" w:type="dxa"/>
              <w:end w:w="85" w:type="dxa"/>
            </w:tcMar>
          </w:tcPr>
          <w:p>
            <w:pPr>
              <w:spacing w:after="0"/>
            </w:pPr>
            <w:r>
              <w:rPr>
                <w:rFonts w:ascii="Arial" w:hAnsi="Arial"/>
                <w:sz w:val="17"/>
              </w:rPr>
              <w:t>Ideally 4–8 GPUs</w:t>
            </w:r>
          </w:p>
        </w:tc>
        <w:tc>
          <w:tcPr>
            <w:tcW w:type="dxa" w:w="5688"/>
            <w:vAlign w:val="center"/>
            <w:tcMar>
              <w:top w:w="70" w:type="dxa"/>
              <w:start w:w="85" w:type="dxa"/>
              <w:bottom w:w="70" w:type="dxa"/>
              <w:end w:w="85" w:type="dxa"/>
            </w:tcMar>
          </w:tcPr>
          <w:p>
            <w:pPr>
              <w:spacing w:after="0"/>
            </w:pPr>
            <w:r>
              <w:rPr>
                <w:rFonts w:ascii="Arial" w:hAnsi="Arial"/>
                <w:sz w:val="17"/>
              </w:rPr>
              <w:t>Nsight, detailed traces, reproducible benchmark harness, strong workload matrix.</w:t>
            </w:r>
          </w:p>
        </w:tc>
      </w:tr>
    </w:tbl>
    <w:p>
      <w:pPr>
        <w:spacing w:after="0"/>
      </w:pPr>
    </w:p>
    <w:p>
      <w:pPr>
        <w:pStyle w:val="Heading1"/>
      </w:pPr>
      <w:r>
        <w:t>14. Suggested execution timeline</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vAlign w:val="center"/>
            <w:tcMar>
              <w:top w:w="70" w:type="dxa"/>
              <w:start w:w="85" w:type="dxa"/>
              <w:bottom w:w="70" w:type="dxa"/>
              <w:end w:w="85" w:type="dxa"/>
            </w:tcMar>
          </w:tcPr>
          <w:p>
            <w:pPr>
              <w:spacing w:after="0"/>
            </w:pPr>
            <w:r>
              <w:rPr>
                <w:rFonts w:ascii="Arial" w:hAnsi="Arial"/>
                <w:b/>
                <w:sz w:val="18"/>
              </w:rPr>
              <w:t>Time</w:t>
            </w:r>
          </w:p>
        </w:tc>
        <w:tc>
          <w:tcPr>
            <w:tcW w:type="dxa" w:w="8424"/>
            <w:shd w:fill="F2F2F2"/>
            <w:vAlign w:val="center"/>
            <w:tcMar>
              <w:top w:w="70" w:type="dxa"/>
              <w:start w:w="85" w:type="dxa"/>
              <w:bottom w:w="70" w:type="dxa"/>
              <w:end w:w="85" w:type="dxa"/>
            </w:tcMar>
          </w:tcPr>
          <w:p>
            <w:pPr>
              <w:spacing w:after="0"/>
            </w:pPr>
            <w:r>
              <w:rPr>
                <w:rFonts w:ascii="Arial" w:hAnsi="Arial"/>
                <w:b/>
                <w:sz w:val="18"/>
              </w:rPr>
              <w:t>Deliverable</w:t>
            </w:r>
          </w:p>
        </w:tc>
      </w:tr>
      <w:tr>
        <w:tc>
          <w:tcPr>
            <w:tcW w:type="dxa" w:w="1800"/>
            <w:vAlign w:val="center"/>
            <w:tcMar>
              <w:top w:w="70" w:type="dxa"/>
              <w:start w:w="85" w:type="dxa"/>
              <w:bottom w:w="70" w:type="dxa"/>
              <w:end w:w="85" w:type="dxa"/>
            </w:tcMar>
          </w:tcPr>
          <w:p>
            <w:pPr>
              <w:spacing w:after="0"/>
            </w:pPr>
            <w:r>
              <w:rPr>
                <w:rFonts w:ascii="Arial" w:hAnsi="Arial"/>
                <w:sz w:val="18"/>
              </w:rPr>
              <w:t>Week 1</w:t>
            </w:r>
          </w:p>
        </w:tc>
        <w:tc>
          <w:tcPr>
            <w:tcW w:type="dxa" w:w="8424"/>
            <w:vAlign w:val="center"/>
            <w:tcMar>
              <w:top w:w="70" w:type="dxa"/>
              <w:start w:w="85" w:type="dxa"/>
              <w:bottom w:w="70" w:type="dxa"/>
              <w:end w:w="85" w:type="dxa"/>
            </w:tcMar>
          </w:tcPr>
          <w:p>
            <w:pPr>
              <w:spacing w:after="0"/>
            </w:pPr>
            <w:r>
              <w:rPr>
                <w:rFonts w:ascii="Arial" w:hAnsi="Arial"/>
                <w:sz w:val="18"/>
              </w:rPr>
              <w:t>Refresh novelty scan across arXiv, vLLM, SGLang, Dynamo, NIXL, Mooncake/llm-d; freeze exact RQ.</w:t>
            </w:r>
          </w:p>
        </w:tc>
      </w:tr>
      <w:tr>
        <w:tc>
          <w:tcPr>
            <w:tcW w:type="dxa" w:w="1800"/>
            <w:vAlign w:val="center"/>
            <w:tcMar>
              <w:top w:w="70" w:type="dxa"/>
              <w:start w:w="85" w:type="dxa"/>
              <w:bottom w:w="70" w:type="dxa"/>
              <w:end w:w="85" w:type="dxa"/>
            </w:tcMar>
          </w:tcPr>
          <w:p>
            <w:pPr>
              <w:spacing w:after="0"/>
            </w:pPr>
            <w:r>
              <w:rPr>
                <w:rFonts w:ascii="Arial" w:hAnsi="Arial"/>
                <w:sz w:val="18"/>
              </w:rPr>
              <w:t>Weeks 2–3</w:t>
            </w:r>
          </w:p>
        </w:tc>
        <w:tc>
          <w:tcPr>
            <w:tcW w:type="dxa" w:w="8424"/>
            <w:vAlign w:val="center"/>
            <w:tcMar>
              <w:top w:w="70" w:type="dxa"/>
              <w:start w:w="85" w:type="dxa"/>
              <w:bottom w:w="70" w:type="dxa"/>
              <w:end w:w="85" w:type="dxa"/>
            </w:tcMar>
          </w:tcPr>
          <w:p>
            <w:pPr>
              <w:spacing w:after="0"/>
            </w:pPr>
            <w:r>
              <w:rPr>
                <w:rFonts w:ascii="Arial" w:hAnsi="Arial"/>
                <w:sz w:val="18"/>
              </w:rPr>
              <w:t>POC A: one active hybrid request GPU A → GPU B with exact cutover.</w:t>
            </w:r>
          </w:p>
        </w:tc>
      </w:tr>
      <w:tr>
        <w:tc>
          <w:tcPr>
            <w:tcW w:type="dxa" w:w="1800"/>
            <w:vAlign w:val="center"/>
            <w:tcMar>
              <w:top w:w="70" w:type="dxa"/>
              <w:start w:w="85" w:type="dxa"/>
              <w:bottom w:w="70" w:type="dxa"/>
              <w:end w:w="85" w:type="dxa"/>
            </w:tcMar>
          </w:tcPr>
          <w:p>
            <w:pPr>
              <w:spacing w:after="0"/>
            </w:pPr>
            <w:r>
              <w:rPr>
                <w:rFonts w:ascii="Arial" w:hAnsi="Arial"/>
                <w:sz w:val="18"/>
              </w:rPr>
              <w:t>Weeks 4–5</w:t>
            </w:r>
          </w:p>
        </w:tc>
        <w:tc>
          <w:tcPr>
            <w:tcW w:type="dxa" w:w="8424"/>
            <w:vAlign w:val="center"/>
            <w:tcMar>
              <w:top w:w="70" w:type="dxa"/>
              <w:start w:w="85" w:type="dxa"/>
              <w:bottom w:w="70" w:type="dxa"/>
              <w:end w:w="85" w:type="dxa"/>
            </w:tcMar>
          </w:tcPr>
          <w:p>
            <w:pPr>
              <w:spacing w:after="0"/>
            </w:pPr>
            <w:r>
              <w:rPr>
                <w:rFonts w:ascii="Arial" w:hAnsi="Arial"/>
                <w:sz w:val="18"/>
              </w:rPr>
              <w:t>POC B: multi-session migration + workload generator + uncontrolled baseline.</w:t>
            </w:r>
          </w:p>
        </w:tc>
      </w:tr>
      <w:tr>
        <w:tc>
          <w:tcPr>
            <w:tcW w:type="dxa" w:w="1800"/>
            <w:vAlign w:val="center"/>
            <w:tcMar>
              <w:top w:w="70" w:type="dxa"/>
              <w:start w:w="85" w:type="dxa"/>
              <w:bottom w:w="70" w:type="dxa"/>
              <w:end w:w="85" w:type="dxa"/>
            </w:tcMar>
          </w:tcPr>
          <w:p>
            <w:pPr>
              <w:spacing w:after="0"/>
            </w:pPr>
            <w:r>
              <w:rPr>
                <w:rFonts w:ascii="Arial" w:hAnsi="Arial"/>
                <w:sz w:val="18"/>
              </w:rPr>
              <w:t>Weeks 6–7</w:t>
            </w:r>
          </w:p>
        </w:tc>
        <w:tc>
          <w:tcPr>
            <w:tcW w:type="dxa" w:w="8424"/>
            <w:vAlign w:val="center"/>
            <w:tcMar>
              <w:top w:w="70" w:type="dxa"/>
              <w:start w:w="85" w:type="dxa"/>
              <w:bottom w:w="70" w:type="dxa"/>
              <w:end w:w="85" w:type="dxa"/>
            </w:tcMar>
          </w:tcPr>
          <w:p>
            <w:pPr>
              <w:spacing w:after="0"/>
            </w:pPr>
            <w:r>
              <w:rPr>
                <w:rFonts w:ascii="Arial" w:hAnsi="Arial"/>
                <w:sz w:val="18"/>
              </w:rPr>
              <w:t>Admission-control mechanism; SLO-aware concurrent migration.</w:t>
            </w:r>
          </w:p>
        </w:tc>
      </w:tr>
      <w:tr>
        <w:tc>
          <w:tcPr>
            <w:tcW w:type="dxa" w:w="1800"/>
            <w:vAlign w:val="center"/>
            <w:tcMar>
              <w:top w:w="70" w:type="dxa"/>
              <w:start w:w="85" w:type="dxa"/>
              <w:bottom w:w="70" w:type="dxa"/>
              <w:end w:w="85" w:type="dxa"/>
            </w:tcMar>
          </w:tcPr>
          <w:p>
            <w:pPr>
              <w:spacing w:after="0"/>
            </w:pPr>
            <w:r>
              <w:rPr>
                <w:rFonts w:ascii="Arial" w:hAnsi="Arial"/>
                <w:sz w:val="18"/>
              </w:rPr>
              <w:t>Weeks 8–9</w:t>
            </w:r>
          </w:p>
        </w:tc>
        <w:tc>
          <w:tcPr>
            <w:tcW w:type="dxa" w:w="8424"/>
            <w:vAlign w:val="center"/>
            <w:tcMar>
              <w:top w:w="70" w:type="dxa"/>
              <w:start w:w="85" w:type="dxa"/>
              <w:bottom w:w="70" w:type="dxa"/>
              <w:end w:w="85" w:type="dxa"/>
            </w:tcMar>
          </w:tcPr>
          <w:p>
            <w:pPr>
              <w:spacing w:after="0"/>
            </w:pPr>
            <w:r>
              <w:rPr>
                <w:rFonts w:ascii="Arial" w:hAnsi="Arial"/>
                <w:sz w:val="18"/>
              </w:rPr>
              <w:t>Topology-change feasibility; decide whether to include as core or stretch.</w:t>
            </w:r>
          </w:p>
        </w:tc>
      </w:tr>
      <w:tr>
        <w:tc>
          <w:tcPr>
            <w:tcW w:type="dxa" w:w="1800"/>
            <w:vAlign w:val="center"/>
            <w:tcMar>
              <w:top w:w="70" w:type="dxa"/>
              <w:start w:w="85" w:type="dxa"/>
              <w:bottom w:w="70" w:type="dxa"/>
              <w:end w:w="85" w:type="dxa"/>
            </w:tcMar>
          </w:tcPr>
          <w:p>
            <w:pPr>
              <w:spacing w:after="0"/>
            </w:pPr>
            <w:r>
              <w:rPr>
                <w:rFonts w:ascii="Arial" w:hAnsi="Arial"/>
                <w:sz w:val="18"/>
              </w:rPr>
              <w:t>Weeks 10–12</w:t>
            </w:r>
          </w:p>
        </w:tc>
        <w:tc>
          <w:tcPr>
            <w:tcW w:type="dxa" w:w="8424"/>
            <w:vAlign w:val="center"/>
            <w:tcMar>
              <w:top w:w="70" w:type="dxa"/>
              <w:start w:w="85" w:type="dxa"/>
              <w:bottom w:w="70" w:type="dxa"/>
              <w:end w:w="85" w:type="dxa"/>
            </w:tcMar>
          </w:tcPr>
          <w:p>
            <w:pPr>
              <w:spacing w:after="0"/>
            </w:pPr>
            <w:r>
              <w:rPr>
                <w:rFonts w:ascii="Arial" w:hAnsi="Arial"/>
                <w:sz w:val="18"/>
              </w:rPr>
              <w:t>Full evaluation matrix, ablations, failure tests, paper-quality plots.</w:t>
            </w:r>
          </w:p>
        </w:tc>
      </w:tr>
      <w:tr>
        <w:tc>
          <w:tcPr>
            <w:tcW w:type="dxa" w:w="1800"/>
            <w:vAlign w:val="center"/>
            <w:tcMar>
              <w:top w:w="70" w:type="dxa"/>
              <w:start w:w="85" w:type="dxa"/>
              <w:bottom w:w="70" w:type="dxa"/>
              <w:end w:w="85" w:type="dxa"/>
            </w:tcMar>
          </w:tcPr>
          <w:p>
            <w:pPr>
              <w:spacing w:after="0"/>
            </w:pPr>
            <w:r>
              <w:rPr>
                <w:rFonts w:ascii="Arial" w:hAnsi="Arial"/>
                <w:sz w:val="18"/>
              </w:rPr>
              <w:t>After</w:t>
            </w:r>
          </w:p>
        </w:tc>
        <w:tc>
          <w:tcPr>
            <w:tcW w:type="dxa" w:w="8424"/>
            <w:vAlign w:val="center"/>
            <w:tcMar>
              <w:top w:w="70" w:type="dxa"/>
              <w:start w:w="85" w:type="dxa"/>
              <w:bottom w:w="70" w:type="dxa"/>
              <w:end w:w="85" w:type="dxa"/>
            </w:tcMar>
          </w:tcPr>
          <w:p>
            <w:pPr>
              <w:spacing w:after="0"/>
            </w:pPr>
            <w:r>
              <w:rPr>
                <w:rFonts w:ascii="Arial" w:hAnsi="Arial"/>
                <w:sz w:val="18"/>
              </w:rPr>
              <w:t>Open-source cleanup, thesis writing, conference-paper draft.</w:t>
            </w:r>
          </w:p>
        </w:tc>
      </w:tr>
    </w:tbl>
    <w:p>
      <w:pPr>
        <w:spacing w:after="0"/>
      </w:pPr>
    </w:p>
    <w:p>
      <w:pPr>
        <w:pStyle w:val="Heading1"/>
      </w:pPr>
      <w:r>
        <w:t>15. Main risks and adversarial checks</w:t>
      </w:r>
    </w:p>
    <w:p>
      <w:pPr>
        <w:pStyle w:val="CompactBullet"/>
      </w:pPr>
      <w:r>
        <w:t>Novelty risk: vLLM/NIXL/Dynamo may land active hybrid-session migration quickly. Re-scan before every major engineering investment.</w:t>
      </w:r>
    </w:p>
    <w:p>
      <w:pPr>
        <w:pStyle w:val="CompactBullet"/>
      </w:pPr>
      <w:r>
        <w:t>Too-easy risk: high-speed links may make naive copy sufficient. This is why multi-session pressure and topology changes must be measured early.</w:t>
      </w:r>
    </w:p>
    <w:p>
      <w:pPr>
        <w:pStyle w:val="CompactBullet"/>
      </w:pPr>
      <w:r>
        <w:t>WorldMove overlap: generic mutable-state migration is already demonstrated. Our contribution must be specific to hybrid LLM serving semantics and scale.</w:t>
      </w:r>
    </w:p>
    <w:p>
      <w:pPr>
        <w:pStyle w:val="CompactBullet"/>
      </w:pPr>
      <w:r>
        <w:t>ReplaySSM overlap: state may become checkpoint + short log. Treat it as a baseline/representation option, not something to ignore.</w:t>
      </w:r>
    </w:p>
    <w:p>
      <w:pPr>
        <w:pStyle w:val="CompactBullet"/>
      </w:pPr>
      <w:r>
        <w:t>Correctness risk: asynchronous scheduling, speculative decode, RNG/sampler state, prefix caching, and preemption can create hidden state not captured by a simple cache copy.</w:t>
      </w:r>
    </w:p>
    <w:p>
      <w:pPr>
        <w:pStyle w:val="CompactBullet"/>
      </w:pPr>
      <w:r>
        <w:t>Evaluation risk: a 0.5B Mac model proves state semantics, not production relevance. Final claims require NVIDIA serving hardware and larger hybrid models.</w:t>
      </w:r>
    </w:p>
    <w:p>
      <w:pPr>
        <w:pStyle w:val="CompactBullet"/>
      </w:pPr>
      <w:r>
        <w:t>Scope risk: topology conversion can consume the entire thesis. Make same-topology multi-session migration publishable first; add hetero-TP only if feasible.</w:t>
      </w:r>
    </w:p>
    <w:p>
      <w:pPr>
        <w:pStyle w:val="Heading1"/>
      </w:pPr>
      <w:r>
        <w:t>16. Thesis story if the POC succeeds</w:t>
      </w:r>
    </w:p>
    <w:p>
      <w:r>
        <w:t>Modern inference systems learned to move Transformer requests by exploiting append-only KV state. Hybrid LLMs break that simple state model: they combine growing attention memory with recurrent state that is rewritten every token. Existing systems can transfer hybrid state between serving phases, but live elasticity introduces a different ownership and scheduling problem. This thesis builds and evaluates a live-migration primitive for active hybrid sessions, showing how to coordinate stable KV transfer, mutable recurrent-state cutover, and migration admission at scale—and, if feasible, across changing model-parallel topologies.</w:t>
      </w:r>
    </w:p>
    <w:p>
      <w:r>
        <w:t>This creates a clean systems progression: model architecture → runtime state semantics → migration primitive → fleet-level elasticity.</w:t>
      </w:r>
    </w:p>
    <w:p>
      <w:pPr>
        <w:pStyle w:val="Heading1"/>
      </w:pPr>
      <w:r>
        <w:t>17. References</w:t>
      </w:r>
    </w:p>
    <w:p>
      <w:pPr>
        <w:spacing w:after="40"/>
      </w:pPr>
      <w:r>
        <w:rPr>
          <w:sz w:val="18"/>
        </w:rPr>
        <w:t>[1] B. Sun et al., “Llumnix: Dynamic Scheduling for Large Language Model Serving,” OSDI 2024. https://www.usenix.org/conference/osdi24/presentation/sun-biao</w:t>
      </w:r>
    </w:p>
    <w:p>
      <w:pPr>
        <w:spacing w:after="40"/>
      </w:pPr>
      <w:r>
        <w:rPr>
          <w:sz w:val="18"/>
        </w:rPr>
        <w:t>[2] T. Ding, J. Liu, H. Xu, “Pallas: A Proactive KV Cache Migration Framework for LLM Inference in AI-RAN,” arXiv:2608.16477, 2026. https://arxiv.org/abs/2608.16477</w:t>
      </w:r>
    </w:p>
    <w:p>
      <w:pPr>
        <w:spacing w:after="40"/>
      </w:pPr>
      <w:r>
        <w:rPr>
          <w:sz w:val="18"/>
        </w:rPr>
        <w:t>[3] H. Yuan et al., “ReMP: Low-Downtime Runtime Model-Parallelism Reconfiguration for LLM Serving,” arXiv:2606.18741, 2026. https://arxiv.org/abs/2606.18741</w:t>
      </w:r>
    </w:p>
    <w:p>
      <w:pPr>
        <w:spacing w:after="40"/>
      </w:pPr>
      <w:r>
        <w:rPr>
          <w:sz w:val="18"/>
        </w:rPr>
        <w:t>[4] vLLM Team, “Disaggregated Serving for Hybrid SSM Models in vLLM,” Apr. 21, 2026. https://vllm.ai/blog/2026-04-21-hybrid-ssm-disagg</w:t>
      </w:r>
    </w:p>
    <w:p>
      <w:pPr>
        <w:spacing w:after="40"/>
      </w:pPr>
      <w:r>
        <w:rPr>
          <w:sz w:val="18"/>
        </w:rPr>
        <w:t>[5] J. Li, J. Chen, “Stateful Worlds, Stateless Elasticity: Exact-State Serving for Interactive World Models,” arXiv:2607.10389, 2026. https://arxiv.org/abs/2607.10389</w:t>
      </w:r>
    </w:p>
    <w:p>
      <w:pPr>
        <w:spacing w:after="40"/>
      </w:pPr>
      <w:r>
        <w:rPr>
          <w:sz w:val="18"/>
        </w:rPr>
        <w:t>[6] Dao AI Lab / NVIDIA / vLLM, “ReplaySSM: Cache SSM Inputs, Not State,” 2026; current tracking RFC supersedes earlier RFC. https://dao-lab.ai/blog/2026/replayssm/ and https://github.com/vllm-project/vllm/issues/49232</w:t>
      </w:r>
    </w:p>
    <w:p>
      <w:pPr>
        <w:spacing w:after="40"/>
      </w:pPr>
      <w:r>
        <w:rPr>
          <w:sz w:val="18"/>
        </w:rPr>
        <w:t>[7] Local validation artifacts: idea1_mutable_cutover*.csv; idea1_real_hybrid.csv; idea1_cache_tensors.json; idea1_cutover_correctness.csv; idea1_replay_catchup.csv; idea1_bandwidth_projection.csv.</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pPr>
      <w:spacing w:after="30"/>
      <w:ind w:left="288"/>
    </w:pPr>
    <w:rPr>
      <w:rFonts w:ascii="Arial" w:hAnsi="Arial"/>
      <w:sz w:val="21"/>
    </w:rPr>
  </w:style>
  <w:style w:type="paragraph" w:customStyle="1" w:styleId="CompactNumber">
    <w:name w:val="Compact Number"/>
    <w:basedOn w:val="ListNumber"/>
    <w:pPr>
      <w:spacing w:after="30"/>
      <w:ind w:left="288"/>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