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30C" w:rsidRPr="00DC5D58" w:rsidRDefault="009253C7" w:rsidP="009253C7">
      <w:pPr>
        <w:pStyle w:val="ListParagraph"/>
        <w:numPr>
          <w:ilvl w:val="0"/>
          <w:numId w:val="1"/>
        </w:numPr>
        <w:rPr>
          <w:rFonts w:ascii="Bradley Hand ITC" w:hAnsi="Bradley Hand ITC" w:cs="Times New Roman"/>
        </w:rPr>
      </w:pPr>
      <w:r w:rsidRPr="00DC5D58">
        <w:rPr>
          <w:rFonts w:ascii="Bradley Hand ITC" w:hAnsi="Bradley Hand ITC" w:cs="Times New Roman"/>
          <w:b/>
          <w:sz w:val="32"/>
          <w:szCs w:val="32"/>
        </w:rPr>
        <w:t>Ergonomics</w:t>
      </w:r>
      <w:r w:rsidRPr="00DC5D58">
        <w:rPr>
          <w:rFonts w:ascii="Bradley Hand ITC" w:hAnsi="Bradley Hand ITC" w:cs="Times New Roman"/>
        </w:rPr>
        <w:t xml:space="preserve"> :</w:t>
      </w:r>
      <w:r w:rsidRPr="00DC5D58">
        <w:rPr>
          <w:rFonts w:ascii="Bradley Hand ITC" w:hAnsi="Bradley Hand ITC" w:cs="Times New Roman"/>
          <w:color w:val="000000"/>
          <w:sz w:val="27"/>
          <w:szCs w:val="27"/>
          <w:shd w:val="clear" w:color="auto" w:fill="FFFFFF"/>
        </w:rPr>
        <w:t xml:space="preserve"> </w:t>
      </w:r>
      <w:r w:rsidRPr="00DC5D58">
        <w:rPr>
          <w:rFonts w:ascii="Bradley Hand ITC" w:hAnsi="Bradley Hand ITC" w:cs="Times New Roman"/>
          <w:color w:val="000000"/>
          <w:sz w:val="27"/>
          <w:szCs w:val="27"/>
          <w:shd w:val="clear" w:color="auto" w:fill="FFFFFF"/>
        </w:rPr>
        <w:t>One of the biggest issues with potters, when they’re throwing </w:t>
      </w:r>
      <w:hyperlink r:id="rId5" w:history="1">
        <w:r w:rsidRPr="00DC5D58">
          <w:rPr>
            <w:rStyle w:val="Hyperlink"/>
            <w:rFonts w:ascii="Bradley Hand ITC" w:hAnsi="Bradley Hand ITC" w:cs="Times New Roman"/>
            <w:b/>
            <w:bCs/>
            <w:color w:val="330C08"/>
            <w:sz w:val="27"/>
            <w:szCs w:val="27"/>
            <w:shd w:val="clear" w:color="auto" w:fill="FFFFFF"/>
          </w:rPr>
          <w:t>clay</w:t>
        </w:r>
      </w:hyperlink>
      <w:r w:rsidRPr="00DC5D58">
        <w:rPr>
          <w:rFonts w:ascii="Bradley Hand ITC" w:hAnsi="Bradley Hand ITC" w:cs="Times New Roman"/>
          <w:color w:val="000000"/>
          <w:sz w:val="27"/>
          <w:szCs w:val="27"/>
          <w:shd w:val="clear" w:color="auto" w:fill="FFFFFF"/>
        </w:rPr>
        <w:t>, isn’t the actual technique of it. No, it’s back pain. One of the biggest injuries that you can get as a potter isn’t burning yourself with the kiln. It isn’t inhaling the particles. Nope, it’s back pain. Back pain happens because lots of times, potters don’t realize the importance of their posture and ergonomics. However, you’re about to find out a little bit more about why it’s important to have killer potter posture, and how it can prevent various issues from happening, including back pain.</w:t>
      </w:r>
      <w:r w:rsidRPr="00DC5D58">
        <w:rPr>
          <w:rFonts w:ascii="Bradley Hand ITC" w:hAnsi="Bradley Hand ITC" w:cs="Times New Roman"/>
          <w:color w:val="000000"/>
          <w:sz w:val="27"/>
          <w:szCs w:val="27"/>
          <w:shd w:val="clear" w:color="auto" w:fill="FFFFFF"/>
        </w:rPr>
        <w:t xml:space="preserve"> </w:t>
      </w:r>
      <w:r w:rsidRPr="00DC5D58">
        <w:rPr>
          <w:rFonts w:ascii="Bradley Hand ITC" w:hAnsi="Bradley Hand ITC" w:cs="Times New Roman"/>
          <w:color w:val="000000"/>
          <w:sz w:val="27"/>
          <w:szCs w:val="27"/>
          <w:shd w:val="clear" w:color="auto" w:fill="FFFFFF"/>
        </w:rPr>
        <w:t>One of the biggest conditions that can happen is sciatica. This is actually a tingling sensation that goes from the sciatic nerve all the way down your back to the back of your legs.</w:t>
      </w:r>
    </w:p>
    <w:p w:rsidR="009253C7" w:rsidRPr="00DC5D58" w:rsidRDefault="009253C7" w:rsidP="009253C7">
      <w:pPr>
        <w:pStyle w:val="ListParagraph"/>
        <w:numPr>
          <w:ilvl w:val="0"/>
          <w:numId w:val="2"/>
        </w:numPr>
        <w:rPr>
          <w:rFonts w:ascii="Bradley Hand ITC" w:hAnsi="Bradley Hand ITC" w:cs="Times New Roman"/>
        </w:rPr>
      </w:pPr>
      <w:r w:rsidRPr="00DC5D58">
        <w:rPr>
          <w:rFonts w:ascii="Bradley Hand ITC" w:hAnsi="Bradley Hand ITC" w:cs="Times New Roman"/>
        </w:rPr>
        <w:t>Raising if possible for standing up (</w:t>
      </w:r>
      <w:hyperlink r:id="rId6" w:history="1">
        <w:r w:rsidRPr="00DC5D58">
          <w:rPr>
            <w:rStyle w:val="Hyperlink"/>
            <w:rFonts w:ascii="Bradley Hand ITC" w:hAnsi="Bradley Hand ITC" w:cs="Times New Roman"/>
          </w:rPr>
          <w:t>https://www.youtube.com/watch?v=eGlRpclmmVM</w:t>
        </w:r>
      </w:hyperlink>
      <w:r w:rsidRPr="00DC5D58">
        <w:rPr>
          <w:rFonts w:ascii="Bradley Hand ITC" w:hAnsi="Bradley Hand ITC" w:cs="Times New Roman"/>
        </w:rPr>
        <w:t>)</w:t>
      </w:r>
    </w:p>
    <w:p w:rsidR="009253C7" w:rsidRPr="00DC5D58" w:rsidRDefault="009253C7" w:rsidP="009253C7">
      <w:pPr>
        <w:pStyle w:val="ListParagraph"/>
        <w:numPr>
          <w:ilvl w:val="2"/>
          <w:numId w:val="1"/>
        </w:numPr>
        <w:rPr>
          <w:rFonts w:ascii="Bradley Hand ITC" w:hAnsi="Bradley Hand ITC" w:cs="Times New Roman"/>
        </w:rPr>
      </w:pPr>
      <w:r w:rsidRPr="00DC5D58">
        <w:rPr>
          <w:rFonts w:ascii="Bradley Hand ITC" w:hAnsi="Bradley Hand ITC" w:cs="Times New Roman"/>
        </w:rPr>
        <w:t>Least spinal Compression</w:t>
      </w:r>
    </w:p>
    <w:p w:rsidR="009253C7" w:rsidRPr="00DC5D58" w:rsidRDefault="009253C7" w:rsidP="009253C7">
      <w:pPr>
        <w:pStyle w:val="ListParagraph"/>
        <w:numPr>
          <w:ilvl w:val="2"/>
          <w:numId w:val="1"/>
        </w:numPr>
        <w:rPr>
          <w:rFonts w:ascii="Bradley Hand ITC" w:hAnsi="Bradley Hand ITC" w:cs="Times New Roman"/>
        </w:rPr>
      </w:pPr>
      <w:r w:rsidRPr="00DC5D58">
        <w:rPr>
          <w:rFonts w:ascii="Bradley Hand ITC" w:hAnsi="Bradley Hand ITC" w:cs="Times New Roman"/>
        </w:rPr>
        <w:t>Height Adjustable</w:t>
      </w:r>
    </w:p>
    <w:p w:rsidR="009253C7" w:rsidRPr="00DC5D58" w:rsidRDefault="009253C7" w:rsidP="009253C7">
      <w:pPr>
        <w:pStyle w:val="ListParagraph"/>
        <w:numPr>
          <w:ilvl w:val="2"/>
          <w:numId w:val="1"/>
        </w:numPr>
        <w:rPr>
          <w:rFonts w:ascii="Bradley Hand ITC" w:hAnsi="Bradley Hand ITC" w:cs="Times New Roman"/>
        </w:rPr>
      </w:pPr>
      <w:r w:rsidRPr="00DC5D58">
        <w:rPr>
          <w:rFonts w:ascii="Bradley Hand ITC" w:hAnsi="Bradley Hand ITC" w:cs="Times New Roman"/>
        </w:rPr>
        <w:t>In Line with Lower Abdomen (To apply proper force and centering)</w:t>
      </w:r>
    </w:p>
    <w:p w:rsidR="00E14B2E" w:rsidRPr="00DC5D58" w:rsidRDefault="00E14B2E" w:rsidP="00E14B2E">
      <w:pPr>
        <w:ind w:left="1440"/>
        <w:rPr>
          <w:rFonts w:ascii="Bradley Hand ITC" w:hAnsi="Bradley Hand ITC" w:cs="Times New Roman"/>
        </w:rPr>
      </w:pPr>
      <w:r w:rsidRPr="00DC5D58">
        <w:rPr>
          <w:rFonts w:ascii="Bradley Hand ITC" w:hAnsi="Bradley Hand ITC" w:cs="Times New Roman"/>
        </w:rPr>
        <w:t>2.</w:t>
      </w:r>
    </w:p>
    <w:p w:rsidR="009253C7" w:rsidRPr="00DC5D58" w:rsidRDefault="009253C7" w:rsidP="009253C7">
      <w:pPr>
        <w:pStyle w:val="ListParagraph"/>
        <w:ind w:left="2160"/>
        <w:rPr>
          <w:rFonts w:ascii="Bradley Hand ITC" w:hAnsi="Bradley Hand ITC" w:cs="Times New Roman"/>
        </w:rPr>
      </w:pPr>
      <w:r w:rsidRPr="00DC5D58">
        <w:rPr>
          <w:rFonts w:ascii="Bradley Hand ITC" w:hAnsi="Bradley Hand ITC" w:cs="Times New Roman"/>
        </w:rPr>
        <w:t xml:space="preserve"> </w:t>
      </w:r>
    </w:p>
    <w:p w:rsidR="009253C7" w:rsidRPr="00DC5D58" w:rsidRDefault="009253C7" w:rsidP="00E14B2E">
      <w:pPr>
        <w:ind w:left="1440"/>
        <w:rPr>
          <w:rFonts w:ascii="Bradley Hand ITC" w:hAnsi="Bradley Hand ITC" w:cs="Times New Roman"/>
        </w:rPr>
      </w:pPr>
      <w:r w:rsidRPr="00DC5D58">
        <w:rPr>
          <w:rFonts w:ascii="Bradley Hand ITC" w:hAnsi="Bradley Hand ITC" w:cs="Times New Roman"/>
          <w:noProof/>
        </w:rPr>
        <w:drawing>
          <wp:inline distT="0" distB="0" distL="0" distR="0">
            <wp:extent cx="1695450" cy="2857500"/>
            <wp:effectExtent l="0" t="0" r="0" b="0"/>
            <wp:docPr id="1" name="Picture 1" descr="06-Studio-RC-IMGP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6-Studio-RC-IMGP41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5450" cy="2857500"/>
                    </a:xfrm>
                    <a:prstGeom prst="rect">
                      <a:avLst/>
                    </a:prstGeom>
                    <a:noFill/>
                    <a:ln>
                      <a:noFill/>
                    </a:ln>
                  </pic:spPr>
                </pic:pic>
              </a:graphicData>
            </a:graphic>
          </wp:inline>
        </w:drawing>
      </w:r>
      <w:r w:rsidRPr="00DC5D58">
        <w:rPr>
          <w:rFonts w:ascii="Bradley Hand ITC" w:hAnsi="Bradley Hand ITC" w:cs="Times New Roman"/>
          <w:noProof/>
        </w:rPr>
        <w:drawing>
          <wp:inline distT="0" distB="0" distL="0" distR="0" wp14:anchorId="180B0875" wp14:editId="52A93233">
            <wp:extent cx="2038350" cy="2817515"/>
            <wp:effectExtent l="0" t="0" r="0" b="1905"/>
            <wp:docPr id="2" name="Picture 2" descr="08-PICT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8-PICT00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8779" cy="2831930"/>
                    </a:xfrm>
                    <a:prstGeom prst="rect">
                      <a:avLst/>
                    </a:prstGeom>
                    <a:noFill/>
                    <a:ln>
                      <a:noFill/>
                    </a:ln>
                  </pic:spPr>
                </pic:pic>
              </a:graphicData>
            </a:graphic>
          </wp:inline>
        </w:drawing>
      </w:r>
    </w:p>
    <w:p w:rsidR="009253C7" w:rsidRPr="00DC5D58" w:rsidRDefault="009253C7" w:rsidP="009253C7">
      <w:pPr>
        <w:pStyle w:val="NormalWeb"/>
        <w:shd w:val="clear" w:color="auto" w:fill="FFFFFF"/>
        <w:spacing w:before="0" w:beforeAutospacing="0" w:after="240" w:afterAutospacing="0"/>
        <w:ind w:left="1800"/>
        <w:rPr>
          <w:rFonts w:ascii="Bradley Hand ITC" w:hAnsi="Bradley Hand ITC"/>
          <w:color w:val="444444"/>
          <w:sz w:val="21"/>
          <w:szCs w:val="21"/>
        </w:rPr>
      </w:pPr>
      <w:r w:rsidRPr="00DC5D58">
        <w:rPr>
          <w:rFonts w:ascii="Bradley Hand ITC" w:hAnsi="Bradley Hand ITC"/>
          <w:color w:val="444444"/>
          <w:sz w:val="21"/>
          <w:szCs w:val="21"/>
        </w:rPr>
        <w:t xml:space="preserve">Robert added leg extensions to his </w:t>
      </w:r>
      <w:r w:rsidRPr="00DC5D58">
        <w:rPr>
          <w:rFonts w:ascii="Bradley Hand ITC" w:hAnsi="Bradley Hand ITC"/>
          <w:color w:val="444444"/>
          <w:sz w:val="21"/>
          <w:szCs w:val="21"/>
        </w:rPr>
        <w:t>potter’s</w:t>
      </w:r>
      <w:r w:rsidRPr="00DC5D58">
        <w:rPr>
          <w:rFonts w:ascii="Bradley Hand ITC" w:hAnsi="Bradley Hand ITC"/>
          <w:color w:val="444444"/>
          <w:sz w:val="21"/>
          <w:szCs w:val="21"/>
        </w:rPr>
        <w:t xml:space="preserve"> wheels making them very comfortable to throw on.  This particular wheel, a </w:t>
      </w:r>
      <w:r w:rsidRPr="00DC5D58">
        <w:rPr>
          <w:rFonts w:ascii="Bradley Hand ITC" w:hAnsi="Bradley Hand ITC"/>
          <w:i/>
          <w:iCs/>
          <w:color w:val="444444"/>
          <w:sz w:val="21"/>
          <w:szCs w:val="21"/>
        </w:rPr>
        <w:t>Pacifica</w:t>
      </w:r>
      <w:r w:rsidRPr="00DC5D58">
        <w:rPr>
          <w:rFonts w:ascii="Bradley Hand ITC" w:hAnsi="Bradley Hand ITC"/>
          <w:color w:val="444444"/>
          <w:sz w:val="21"/>
          <w:szCs w:val="21"/>
        </w:rPr>
        <w:t xml:space="preserve">, has a strong molded splash pan on which he rests his forearms for leverage.  After a back injury, Robert taught himself good posture when at the wheel.  He accomplishes this by keeping his back vertically aligned and his pelvis tilted.  The unusual wooden platform he built under his chair is the key to a comfortable </w:t>
      </w:r>
      <w:r w:rsidRPr="00DC5D58">
        <w:rPr>
          <w:rFonts w:ascii="Bradley Hand ITC" w:hAnsi="Bradley Hand ITC"/>
          <w:color w:val="444444"/>
          <w:sz w:val="21"/>
          <w:szCs w:val="21"/>
        </w:rPr>
        <w:t>day’s</w:t>
      </w:r>
      <w:r w:rsidRPr="00DC5D58">
        <w:rPr>
          <w:rFonts w:ascii="Bradley Hand ITC" w:hAnsi="Bradley Hand ITC"/>
          <w:color w:val="444444"/>
          <w:sz w:val="21"/>
          <w:szCs w:val="21"/>
        </w:rPr>
        <w:t xml:space="preserve"> work.</w:t>
      </w:r>
    </w:p>
    <w:p w:rsidR="009253C7" w:rsidRPr="00DC5D58" w:rsidRDefault="009253C7" w:rsidP="009253C7">
      <w:pPr>
        <w:pStyle w:val="NormalWeb"/>
        <w:shd w:val="clear" w:color="auto" w:fill="FFFFFF"/>
        <w:spacing w:before="0" w:beforeAutospacing="0" w:after="240" w:afterAutospacing="0"/>
        <w:ind w:left="1800"/>
        <w:rPr>
          <w:rFonts w:ascii="Bradley Hand ITC" w:hAnsi="Bradley Hand ITC"/>
          <w:color w:val="444444"/>
          <w:sz w:val="21"/>
          <w:szCs w:val="21"/>
        </w:rPr>
      </w:pPr>
      <w:r w:rsidRPr="00DC5D58">
        <w:rPr>
          <w:rFonts w:ascii="Bradley Hand ITC" w:hAnsi="Bradley Hand ITC"/>
          <w:color w:val="444444"/>
          <w:sz w:val="21"/>
          <w:szCs w:val="21"/>
        </w:rPr>
        <w:lastRenderedPageBreak/>
        <w:t xml:space="preserve">Even though this office chair has little padding, it is superior to the thickly padded seats that most potters use, since the more traditional seats require the potter to sit flat.  This design tilts the potter’s pelvis, making an ergonomic alignment of the potters, back, legs and shoulders.  Note that the wheel height is above the potter’s waist.  In this position the potter </w:t>
      </w:r>
      <w:r w:rsidRPr="00DC5D58">
        <w:rPr>
          <w:rFonts w:ascii="Bradley Hand ITC" w:hAnsi="Bradley Hand ITC"/>
          <w:color w:val="444444"/>
          <w:sz w:val="21"/>
          <w:szCs w:val="21"/>
        </w:rPr>
        <w:t>has 30</w:t>
      </w:r>
      <w:r w:rsidRPr="00DC5D58">
        <w:rPr>
          <w:rFonts w:ascii="Bradley Hand ITC" w:hAnsi="Bradley Hand ITC"/>
          <w:color w:val="444444"/>
          <w:sz w:val="21"/>
          <w:szCs w:val="21"/>
        </w:rPr>
        <w:t>-60% of his weight on the seat.  He or she can adjust this position up or down by shifting more or less weight to their legs.</w:t>
      </w:r>
    </w:p>
    <w:p w:rsidR="009253C7" w:rsidRPr="00DC5D58" w:rsidRDefault="009253C7" w:rsidP="009253C7">
      <w:pPr>
        <w:pStyle w:val="NormalWeb"/>
        <w:shd w:val="clear" w:color="auto" w:fill="FFFFFF"/>
        <w:spacing w:before="0" w:beforeAutospacing="0" w:after="240" w:afterAutospacing="0"/>
        <w:ind w:left="1800"/>
        <w:rPr>
          <w:rFonts w:ascii="Bradley Hand ITC" w:hAnsi="Bradley Hand ITC"/>
        </w:rPr>
      </w:pPr>
      <w:hyperlink r:id="rId9" w:history="1">
        <w:r w:rsidRPr="00DC5D58">
          <w:rPr>
            <w:rStyle w:val="Hyperlink"/>
            <w:rFonts w:ascii="Bradley Hand ITC" w:hAnsi="Bradley Hand ITC"/>
          </w:rPr>
          <w:t>https://robertcomptonpottery.com/index.php/forming-techniques-2/forming-methods-wheels/</w:t>
        </w:r>
      </w:hyperlink>
    </w:p>
    <w:p w:rsidR="009253C7" w:rsidRPr="00DC5D58" w:rsidRDefault="00E14B2E" w:rsidP="00E14B2E">
      <w:pPr>
        <w:pStyle w:val="NormalWeb"/>
        <w:numPr>
          <w:ilvl w:val="0"/>
          <w:numId w:val="3"/>
        </w:numPr>
        <w:shd w:val="clear" w:color="auto" w:fill="FFFFFF"/>
        <w:spacing w:before="0" w:beforeAutospacing="0" w:after="240" w:afterAutospacing="0"/>
        <w:rPr>
          <w:rFonts w:ascii="Bradley Hand ITC" w:hAnsi="Bradley Hand ITC"/>
        </w:rPr>
      </w:pPr>
      <w:hyperlink r:id="rId10" w:history="1">
        <w:r w:rsidRPr="00DC5D58">
          <w:rPr>
            <w:rStyle w:val="Hyperlink"/>
            <w:rFonts w:ascii="Bradley Hand ITC" w:hAnsi="Bradley Hand ITC"/>
          </w:rPr>
          <w:t>https://spinningpots.com/potter-posture-and-how-to-prevent-back-pain/</w:t>
        </w:r>
      </w:hyperlink>
    </w:p>
    <w:p w:rsidR="00BF67D6" w:rsidRDefault="00BF67D6" w:rsidP="00E14B2E">
      <w:pPr>
        <w:pStyle w:val="NormalWeb"/>
        <w:numPr>
          <w:ilvl w:val="0"/>
          <w:numId w:val="3"/>
        </w:numPr>
        <w:shd w:val="clear" w:color="auto" w:fill="FFFFFF"/>
        <w:spacing w:before="0" w:beforeAutospacing="0" w:after="240" w:afterAutospacing="0"/>
        <w:rPr>
          <w:rFonts w:ascii="Bradley Hand ITC" w:hAnsi="Bradley Hand ITC"/>
        </w:rPr>
      </w:pPr>
      <w:r w:rsidRPr="00DC5D58">
        <w:rPr>
          <w:rFonts w:ascii="Bradley Hand ITC" w:hAnsi="Bradley Hand ITC"/>
        </w:rPr>
        <w:t xml:space="preserve">Water Holding and Glazing pots </w:t>
      </w:r>
    </w:p>
    <w:p w:rsidR="00DC5D58" w:rsidRPr="00DC5D58" w:rsidRDefault="00DC5D58" w:rsidP="00E14B2E">
      <w:pPr>
        <w:pStyle w:val="NormalWeb"/>
        <w:numPr>
          <w:ilvl w:val="0"/>
          <w:numId w:val="3"/>
        </w:numPr>
        <w:shd w:val="clear" w:color="auto" w:fill="FFFFFF"/>
        <w:spacing w:before="0" w:beforeAutospacing="0" w:after="240" w:afterAutospacing="0"/>
        <w:rPr>
          <w:rFonts w:ascii="Bradley Hand ITC" w:hAnsi="Bradley Hand ITC"/>
        </w:rPr>
      </w:pPr>
      <w:bookmarkStart w:id="0" w:name="_GoBack"/>
      <w:bookmarkEnd w:id="0"/>
    </w:p>
    <w:p w:rsidR="00E14B2E" w:rsidRPr="00DC5D58" w:rsidRDefault="00E14B2E" w:rsidP="00E14B2E">
      <w:pPr>
        <w:pStyle w:val="NormalWeb"/>
        <w:numPr>
          <w:ilvl w:val="0"/>
          <w:numId w:val="1"/>
        </w:numPr>
        <w:shd w:val="clear" w:color="auto" w:fill="FFFFFF"/>
        <w:spacing w:before="0" w:beforeAutospacing="0" w:after="240" w:afterAutospacing="0"/>
        <w:rPr>
          <w:rFonts w:ascii="Bradley Hand ITC" w:hAnsi="Bradley Hand ITC"/>
          <w:sz w:val="32"/>
          <w:szCs w:val="32"/>
        </w:rPr>
      </w:pPr>
      <w:r w:rsidRPr="00DC5D58">
        <w:rPr>
          <w:rFonts w:ascii="Bradley Hand ITC" w:hAnsi="Bradley Hand ITC"/>
          <w:b/>
          <w:sz w:val="32"/>
          <w:szCs w:val="32"/>
        </w:rPr>
        <w:t>Material</w:t>
      </w:r>
      <w:r w:rsidR="00BF67D6" w:rsidRPr="00DC5D58">
        <w:rPr>
          <w:rFonts w:ascii="Bradley Hand ITC" w:hAnsi="Bradley Hand ITC"/>
          <w:sz w:val="32"/>
          <w:szCs w:val="32"/>
        </w:rPr>
        <w:t xml:space="preserve"> (</w:t>
      </w:r>
      <w:hyperlink r:id="rId11" w:history="1">
        <w:r w:rsidR="00BF67D6" w:rsidRPr="00DC5D58">
          <w:rPr>
            <w:rStyle w:val="Hyperlink"/>
            <w:rFonts w:ascii="Bradley Hand ITC" w:hAnsi="Bradley Hand ITC"/>
          </w:rPr>
          <w:t>https://www.researchgate.net/post/What_are_the_alternate_materials_for_machine_bases_other_than_cast_Iron</w:t>
        </w:r>
      </w:hyperlink>
      <w:r w:rsidR="00BF67D6" w:rsidRPr="00DC5D58">
        <w:rPr>
          <w:rFonts w:ascii="Bradley Hand ITC" w:hAnsi="Bradley Hand ITC"/>
          <w:sz w:val="32"/>
          <w:szCs w:val="32"/>
        </w:rPr>
        <w:t>)</w:t>
      </w:r>
    </w:p>
    <w:p w:rsidR="00BF67D6" w:rsidRPr="00DC5D58" w:rsidRDefault="00BF67D6" w:rsidP="00BF67D6">
      <w:pPr>
        <w:pStyle w:val="NormalWeb"/>
        <w:numPr>
          <w:ilvl w:val="0"/>
          <w:numId w:val="4"/>
        </w:numPr>
        <w:shd w:val="clear" w:color="auto" w:fill="FFFFFF"/>
        <w:spacing w:before="0" w:beforeAutospacing="0" w:after="240" w:afterAutospacing="0"/>
        <w:rPr>
          <w:rFonts w:ascii="Bradley Hand ITC" w:hAnsi="Bradley Hand ITC"/>
        </w:rPr>
      </w:pPr>
      <w:r w:rsidRPr="00DC5D58">
        <w:rPr>
          <w:rFonts w:ascii="Bradley Hand ITC" w:hAnsi="Bradley Hand ITC"/>
        </w:rPr>
        <w:t xml:space="preserve">Epoxy Granite : </w:t>
      </w:r>
      <w:r w:rsidRPr="00DC5D58">
        <w:rPr>
          <w:rFonts w:ascii="Bradley Hand ITC" w:hAnsi="Bradley Hand ITC"/>
          <w:color w:val="222222"/>
          <w:sz w:val="21"/>
          <w:szCs w:val="21"/>
          <w:shd w:val="clear" w:color="auto" w:fill="FFFFFF"/>
        </w:rPr>
        <w:t>Epoxy granite is used instead of </w:t>
      </w:r>
      <w:hyperlink r:id="rId12" w:tooltip="Cast iron" w:history="1">
        <w:r w:rsidRPr="00DC5D58">
          <w:rPr>
            <w:rStyle w:val="Hyperlink"/>
            <w:rFonts w:ascii="Bradley Hand ITC" w:hAnsi="Bradley Hand ITC"/>
            <w:color w:val="0B0080"/>
            <w:sz w:val="21"/>
            <w:szCs w:val="21"/>
            <w:u w:val="none"/>
            <w:shd w:val="clear" w:color="auto" w:fill="FFFFFF"/>
          </w:rPr>
          <w:t>cast iron</w:t>
        </w:r>
      </w:hyperlink>
      <w:r w:rsidRPr="00DC5D58">
        <w:rPr>
          <w:rFonts w:ascii="Bradley Hand ITC" w:hAnsi="Bradley Hand ITC"/>
          <w:color w:val="222222"/>
          <w:sz w:val="21"/>
          <w:szCs w:val="21"/>
          <w:shd w:val="clear" w:color="auto" w:fill="FFFFFF"/>
        </w:rPr>
        <w:t> and </w:t>
      </w:r>
      <w:hyperlink r:id="rId13" w:tooltip="Steel" w:history="1">
        <w:r w:rsidRPr="00DC5D58">
          <w:rPr>
            <w:rStyle w:val="Hyperlink"/>
            <w:rFonts w:ascii="Bradley Hand ITC" w:hAnsi="Bradley Hand ITC"/>
            <w:color w:val="0B0080"/>
            <w:sz w:val="21"/>
            <w:szCs w:val="21"/>
            <w:u w:val="none"/>
            <w:shd w:val="clear" w:color="auto" w:fill="FFFFFF"/>
          </w:rPr>
          <w:t>steel</w:t>
        </w:r>
      </w:hyperlink>
      <w:r w:rsidRPr="00DC5D58">
        <w:rPr>
          <w:rFonts w:ascii="Bradley Hand ITC" w:hAnsi="Bradley Hand ITC"/>
          <w:color w:val="222222"/>
          <w:sz w:val="21"/>
          <w:szCs w:val="21"/>
          <w:shd w:val="clear" w:color="auto" w:fill="FFFFFF"/>
        </w:rPr>
        <w:t> for better </w:t>
      </w:r>
      <w:hyperlink r:id="rId14" w:tooltip="Vibration damping" w:history="1">
        <w:r w:rsidRPr="00DC5D58">
          <w:rPr>
            <w:rStyle w:val="Hyperlink"/>
            <w:rFonts w:ascii="Bradley Hand ITC" w:hAnsi="Bradley Hand ITC"/>
            <w:color w:val="0B0080"/>
            <w:sz w:val="21"/>
            <w:szCs w:val="21"/>
            <w:u w:val="none"/>
            <w:shd w:val="clear" w:color="auto" w:fill="FFFFFF"/>
          </w:rPr>
          <w:t>vibration damping</w:t>
        </w:r>
      </w:hyperlink>
      <w:r w:rsidRPr="00DC5D58">
        <w:rPr>
          <w:rFonts w:ascii="Bradley Hand ITC" w:hAnsi="Bradley Hand ITC"/>
          <w:color w:val="222222"/>
          <w:sz w:val="21"/>
          <w:szCs w:val="21"/>
          <w:shd w:val="clear" w:color="auto" w:fill="FFFFFF"/>
        </w:rPr>
        <w:t>, longer tool life, and lower assembly cost.</w:t>
      </w:r>
    </w:p>
    <w:p w:rsidR="00BF67D6" w:rsidRPr="00DC5D58" w:rsidRDefault="00DC5D58" w:rsidP="00BF67D6">
      <w:pPr>
        <w:pStyle w:val="NormalWeb"/>
        <w:numPr>
          <w:ilvl w:val="0"/>
          <w:numId w:val="4"/>
        </w:numPr>
        <w:shd w:val="clear" w:color="auto" w:fill="FFFFFF"/>
        <w:spacing w:before="0" w:beforeAutospacing="0" w:after="240" w:afterAutospacing="0"/>
        <w:rPr>
          <w:rFonts w:ascii="Bradley Hand ITC" w:hAnsi="Bradley Hand ITC"/>
        </w:rPr>
      </w:pPr>
      <w:r>
        <w:rPr>
          <w:rFonts w:ascii="Bradley Hand ITC" w:hAnsi="Bradley Hand ITC"/>
          <w:color w:val="111111"/>
          <w:sz w:val="21"/>
          <w:szCs w:val="21"/>
          <w:shd w:val="clear" w:color="auto" w:fill="FFFFFF"/>
        </w:rPr>
        <w:t>P</w:t>
      </w:r>
      <w:r w:rsidR="00BF67D6" w:rsidRPr="00DC5D58">
        <w:rPr>
          <w:rFonts w:ascii="Bradley Hand ITC" w:hAnsi="Bradley Hand ITC"/>
          <w:color w:val="111111"/>
          <w:sz w:val="21"/>
          <w:szCs w:val="21"/>
          <w:shd w:val="clear" w:color="auto" w:fill="FFFFFF"/>
        </w:rPr>
        <w:t xml:space="preserve">olymeric </w:t>
      </w:r>
      <w:r w:rsidRPr="00DC5D58">
        <w:rPr>
          <w:rFonts w:ascii="Bradley Hand ITC" w:hAnsi="Bradley Hand ITC"/>
          <w:color w:val="111111"/>
          <w:sz w:val="21"/>
          <w:szCs w:val="21"/>
          <w:shd w:val="clear" w:color="auto" w:fill="FFFFFF"/>
        </w:rPr>
        <w:t>concrete:</w:t>
      </w:r>
      <w:r w:rsidR="00BF67D6" w:rsidRPr="00DC5D58">
        <w:rPr>
          <w:rFonts w:ascii="Bradley Hand ITC" w:hAnsi="Bradley Hand ITC"/>
          <w:color w:val="111111"/>
          <w:sz w:val="21"/>
          <w:szCs w:val="21"/>
          <w:shd w:val="clear" w:color="auto" w:fill="FFFFFF"/>
        </w:rPr>
        <w:t xml:space="preserve"> </w:t>
      </w:r>
      <w:r w:rsidR="00BF67D6" w:rsidRPr="00DC5D58">
        <w:rPr>
          <w:rFonts w:ascii="Bradley Hand ITC" w:hAnsi="Bradley Hand ITC"/>
          <w:color w:val="333333"/>
          <w:spacing w:val="2"/>
          <w:sz w:val="26"/>
          <w:szCs w:val="26"/>
          <w:shd w:val="clear" w:color="auto" w:fill="FFFFFF"/>
        </w:rPr>
        <w:t>Polymer concrete is dense, rigid, dimensionally and thermally stable, resistant to water and chemicals and will not twist or bend when stress is introduced. Most of all, it has superb vibration dampening qualities.</w:t>
      </w:r>
    </w:p>
    <w:p w:rsidR="00DC5D58" w:rsidRPr="00DC5D58" w:rsidRDefault="00DC5D58" w:rsidP="00DC5D58">
      <w:pPr>
        <w:pStyle w:val="NormalWeb"/>
        <w:shd w:val="clear" w:color="auto" w:fill="FFFFFF"/>
        <w:spacing w:before="0" w:beforeAutospacing="0" w:after="240" w:afterAutospacing="0"/>
        <w:ind w:left="1800"/>
        <w:rPr>
          <w:rFonts w:ascii="Bradley Hand ITC" w:hAnsi="Bradley Hand ITC"/>
        </w:rPr>
      </w:pPr>
      <w:hyperlink r:id="rId15" w:history="1">
        <w:r w:rsidRPr="00DC5D58">
          <w:rPr>
            <w:rStyle w:val="Hyperlink"/>
            <w:rFonts w:ascii="Bradley Hand ITC" w:hAnsi="Bradley Hand ITC"/>
          </w:rPr>
          <w:t>https://www.researchgate.net/figure/Comparison-of-the-properties-of-steel-cast-iron-and-polymer-concrete-2_tbl1_323753518</w:t>
        </w:r>
      </w:hyperlink>
    </w:p>
    <w:p w:rsidR="00BF67D6" w:rsidRPr="00DC5D58" w:rsidRDefault="00DC5D58" w:rsidP="00BF67D6">
      <w:pPr>
        <w:pStyle w:val="NormalWeb"/>
        <w:numPr>
          <w:ilvl w:val="0"/>
          <w:numId w:val="4"/>
        </w:numPr>
        <w:shd w:val="clear" w:color="auto" w:fill="FFFFFF"/>
        <w:spacing w:before="0" w:beforeAutospacing="0" w:after="240" w:afterAutospacing="0"/>
        <w:rPr>
          <w:rFonts w:ascii="Bradley Hand ITC" w:hAnsi="Bradley Hand ITC"/>
        </w:rPr>
      </w:pPr>
      <w:r w:rsidRPr="00DC5D58">
        <w:rPr>
          <w:rFonts w:ascii="Bradley Hand ITC" w:hAnsi="Bradley Hand ITC"/>
          <w:color w:val="111111"/>
          <w:sz w:val="21"/>
          <w:szCs w:val="21"/>
          <w:shd w:val="clear" w:color="auto" w:fill="FFFFFF"/>
        </w:rPr>
        <w:t>W</w:t>
      </w:r>
      <w:r w:rsidR="00BF67D6" w:rsidRPr="00DC5D58">
        <w:rPr>
          <w:rFonts w:ascii="Bradley Hand ITC" w:hAnsi="Bradley Hand ITC"/>
          <w:color w:val="111111"/>
          <w:sz w:val="21"/>
          <w:szCs w:val="21"/>
          <w:shd w:val="clear" w:color="auto" w:fill="FFFFFF"/>
        </w:rPr>
        <w:t xml:space="preserve">elded </w:t>
      </w:r>
      <w:r w:rsidRPr="00DC5D58">
        <w:rPr>
          <w:rFonts w:ascii="Bradley Hand ITC" w:hAnsi="Bradley Hand ITC"/>
          <w:color w:val="111111"/>
          <w:sz w:val="21"/>
          <w:szCs w:val="21"/>
          <w:shd w:val="clear" w:color="auto" w:fill="FFFFFF"/>
        </w:rPr>
        <w:t xml:space="preserve">steel:  </w:t>
      </w:r>
    </w:p>
    <w:p w:rsidR="00BF67D6" w:rsidRPr="00DC5D58" w:rsidRDefault="00DC5D58" w:rsidP="00BF67D6">
      <w:pPr>
        <w:pStyle w:val="NormalWeb"/>
        <w:numPr>
          <w:ilvl w:val="0"/>
          <w:numId w:val="4"/>
        </w:numPr>
        <w:shd w:val="clear" w:color="auto" w:fill="FFFFFF"/>
        <w:spacing w:before="0" w:beforeAutospacing="0" w:after="240" w:afterAutospacing="0"/>
        <w:rPr>
          <w:rFonts w:ascii="Bradley Hand ITC" w:hAnsi="Bradley Hand ITC"/>
          <w:sz w:val="22"/>
          <w:szCs w:val="22"/>
        </w:rPr>
      </w:pPr>
      <w:r w:rsidRPr="00DC5D58">
        <w:rPr>
          <w:rFonts w:ascii="Bradley Hand ITC" w:hAnsi="Bradley Hand ITC"/>
          <w:color w:val="111111"/>
          <w:sz w:val="21"/>
          <w:szCs w:val="21"/>
          <w:shd w:val="clear" w:color="auto" w:fill="FFFFFF"/>
        </w:rPr>
        <w:t>C</w:t>
      </w:r>
      <w:r w:rsidR="00BF67D6" w:rsidRPr="00DC5D58">
        <w:rPr>
          <w:rFonts w:ascii="Bradley Hand ITC" w:hAnsi="Bradley Hand ITC"/>
          <w:color w:val="111111"/>
          <w:sz w:val="21"/>
          <w:szCs w:val="21"/>
          <w:shd w:val="clear" w:color="auto" w:fill="FFFFFF"/>
        </w:rPr>
        <w:t xml:space="preserve">arbon fiber </w:t>
      </w:r>
      <w:r w:rsidRPr="00DC5D58">
        <w:rPr>
          <w:rFonts w:ascii="Bradley Hand ITC" w:hAnsi="Bradley Hand ITC"/>
          <w:color w:val="111111"/>
          <w:sz w:val="21"/>
          <w:szCs w:val="21"/>
          <w:shd w:val="clear" w:color="auto" w:fill="FFFFFF"/>
        </w:rPr>
        <w:t xml:space="preserve">composites:  </w:t>
      </w:r>
      <w:r w:rsidRPr="00DC5D58">
        <w:rPr>
          <w:rFonts w:ascii="Bradley Hand ITC" w:hAnsi="Bradley Hand ITC"/>
          <w:color w:val="222222"/>
          <w:sz w:val="29"/>
          <w:szCs w:val="29"/>
          <w:shd w:val="clear" w:color="auto" w:fill="FFFFFF"/>
        </w:rPr>
        <w:t> </w:t>
      </w:r>
      <w:r w:rsidRPr="00DC5D58">
        <w:rPr>
          <w:rFonts w:ascii="Bradley Hand ITC" w:hAnsi="Bradley Hand ITC"/>
          <w:color w:val="222222"/>
          <w:sz w:val="22"/>
          <w:szCs w:val="22"/>
          <w:shd w:val="clear" w:color="auto" w:fill="FFFFFF"/>
        </w:rPr>
        <w:t>They all have high strength and high stiffness. They have low density and strongly resist fatigue and creep. They have low coefficients of thermal expansion (CTE) and basically don’t corrode. Some composites also have extremely high thermal conductivity, high temperature capability, or both.</w:t>
      </w:r>
    </w:p>
    <w:p w:rsidR="009253C7" w:rsidRPr="00DC5D58" w:rsidRDefault="009253C7" w:rsidP="009253C7">
      <w:pPr>
        <w:pStyle w:val="NormalWeb"/>
        <w:shd w:val="clear" w:color="auto" w:fill="FFFFFF"/>
        <w:spacing w:before="0" w:beforeAutospacing="0" w:after="240" w:afterAutospacing="0"/>
        <w:ind w:left="1800"/>
        <w:rPr>
          <w:rFonts w:ascii="Bradley Hand ITC" w:hAnsi="Bradley Hand ITC"/>
          <w:color w:val="444444"/>
          <w:sz w:val="22"/>
          <w:szCs w:val="22"/>
        </w:rPr>
      </w:pPr>
    </w:p>
    <w:p w:rsidR="009253C7" w:rsidRPr="00DC5D58" w:rsidRDefault="009253C7" w:rsidP="009253C7">
      <w:pPr>
        <w:pStyle w:val="ListParagraph"/>
        <w:ind w:left="1800"/>
        <w:rPr>
          <w:rFonts w:ascii="Bradley Hand ITC" w:hAnsi="Bradley Hand ITC" w:cs="Times New Roman"/>
        </w:rPr>
      </w:pPr>
    </w:p>
    <w:sectPr w:rsidR="009253C7" w:rsidRPr="00DC5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A6E09"/>
    <w:multiLevelType w:val="hybridMultilevel"/>
    <w:tmpl w:val="B8505F86"/>
    <w:lvl w:ilvl="0" w:tplc="FA4495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CAD2064"/>
    <w:multiLevelType w:val="hybridMultilevel"/>
    <w:tmpl w:val="140687B2"/>
    <w:lvl w:ilvl="0" w:tplc="22BA83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5082B6B"/>
    <w:multiLevelType w:val="hybridMultilevel"/>
    <w:tmpl w:val="60BC6D2A"/>
    <w:lvl w:ilvl="0" w:tplc="399A267A">
      <w:start w:val="3"/>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6B281BBE"/>
    <w:multiLevelType w:val="hybridMultilevel"/>
    <w:tmpl w:val="C3320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3C7"/>
    <w:rsid w:val="0078330C"/>
    <w:rsid w:val="00813799"/>
    <w:rsid w:val="009253C7"/>
    <w:rsid w:val="00BF67D6"/>
    <w:rsid w:val="00DC5D58"/>
    <w:rsid w:val="00E14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FD671"/>
  <w15:chartTrackingRefBased/>
  <w15:docId w15:val="{C09B254F-C0D4-4C17-A87B-F77B75783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53C7"/>
    <w:pPr>
      <w:ind w:left="720"/>
      <w:contextualSpacing/>
    </w:pPr>
  </w:style>
  <w:style w:type="character" w:styleId="Hyperlink">
    <w:name w:val="Hyperlink"/>
    <w:basedOn w:val="DefaultParagraphFont"/>
    <w:uiPriority w:val="99"/>
    <w:semiHidden/>
    <w:unhideWhenUsed/>
    <w:rsid w:val="009253C7"/>
    <w:rPr>
      <w:color w:val="0000FF"/>
      <w:u w:val="single"/>
    </w:rPr>
  </w:style>
  <w:style w:type="paragraph" w:styleId="NormalWeb">
    <w:name w:val="Normal (Web)"/>
    <w:basedOn w:val="Normal"/>
    <w:uiPriority w:val="99"/>
    <w:semiHidden/>
    <w:unhideWhenUsed/>
    <w:rsid w:val="009253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3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44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Stee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en.wikipedia.org/wiki/Cast_ir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watch?v=eGlRpclmmVM" TargetMode="External"/><Relationship Id="rId11" Type="http://schemas.openxmlformats.org/officeDocument/2006/relationships/hyperlink" Target="https://www.researchgate.net/post/What_are_the_alternate_materials_for_machine_bases_other_than_cast_Iron" TargetMode="External"/><Relationship Id="rId5" Type="http://schemas.openxmlformats.org/officeDocument/2006/relationships/hyperlink" Target="https://spinningpots.com/the-best-pottery-clay-amazon-has-to-offer/" TargetMode="External"/><Relationship Id="rId15" Type="http://schemas.openxmlformats.org/officeDocument/2006/relationships/hyperlink" Target="https://www.researchgate.net/figure/Comparison-of-the-properties-of-steel-cast-iron-and-polymer-concrete-2_tbl1_323753518" TargetMode="External"/><Relationship Id="rId10" Type="http://schemas.openxmlformats.org/officeDocument/2006/relationships/hyperlink" Target="https://spinningpots.com/potter-posture-and-how-to-prevent-back-pain/" TargetMode="External"/><Relationship Id="rId4" Type="http://schemas.openxmlformats.org/officeDocument/2006/relationships/webSettings" Target="webSettings.xml"/><Relationship Id="rId9" Type="http://schemas.openxmlformats.org/officeDocument/2006/relationships/hyperlink" Target="https://robertcomptonpottery.com/index.php/forming-techniques-2/forming-methods-wheels/" TargetMode="External"/><Relationship Id="rId14" Type="http://schemas.openxmlformats.org/officeDocument/2006/relationships/hyperlink" Target="https://en.wikipedia.org/wiki/Vibration_dam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2020-02-17T03:44:00Z</dcterms:created>
  <dcterms:modified xsi:type="dcterms:W3CDTF">2020-02-17T04:30:00Z</dcterms:modified>
</cp:coreProperties>
</file>