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jc w:val="center"/>
      </w:pPr>
      <w:r>
        <w:rPr>
          <w:b/>
          <w:sz w:val="28"/>
        </w:rPr>
        <w:t>Core Concepts and Definitions</w:t>
      </w:r>
    </w:p>
    <w:p>
      <w:pPr>
        <w:jc w:val="both"/>
      </w:pPr>
      <w:r>
        <w:rPr>
          <w:rFonts w:ascii="Times New Roman" w:hAnsi="Times New Roman"/>
          <w:b/>
          <w:sz w:val="24"/>
        </w:rPr>
        <w:t>Medical Text Simplification:</w:t>
      </w:r>
      <w:r>
        <w:rPr>
          <w:rFonts w:ascii="Times New Roman" w:hAnsi="Times New Roman"/>
          <w:sz w:val="24"/>
        </w:rPr>
        <w:t xml:space="preserve"> Medical text simplification is an NLP process that translates complex clinical terminology—a set of specialized medical vocabulary and dense syntax—into plain, understandable English. A system performs medical text simplification if it successfully reduces syntactic complexity while strictly preserving the underlying semantic meaning. This process is driven by the need to democratize access to health records and improve patient health literacy.</w:t>
      </w:r>
    </w:p>
    <w:p>
      <w:pPr>
        <w:jc w:val="both"/>
      </w:pPr>
      <w:r>
        <w:rPr>
          <w:rFonts w:ascii="Times New Roman" w:hAnsi="Times New Roman"/>
          <w:b/>
          <w:sz w:val="24"/>
        </w:rPr>
        <w:t>Retrieval-Augmented Generation (RAG):</w:t>
      </w:r>
      <w:r>
        <w:rPr>
          <w:rFonts w:ascii="Times New Roman" w:hAnsi="Times New Roman"/>
          <w:sz w:val="24"/>
        </w:rPr>
        <w:t xml:space="preserve"> Retrieval-Augmented Generation is an architectural framework that grounds language models by querying an external verified database—a high-dimensional vector index of clinical knowledge—before generating a response. An AI conversational agent utilizes RAG if it fetches factual context to construct its answers rather than relying solely on its internal parametric memory. Unlike standard unstructured generative models, this significantly reduces the risk of the model hallucinating dangerous or incorrect medical advice.</w:t>
      </w:r>
    </w:p>
    <w:p>
      <w:pPr>
        <w:jc w:val="both"/>
      </w:pPr>
      <w:r>
        <w:rPr>
          <w:rFonts w:ascii="Times New Roman" w:hAnsi="Times New Roman"/>
          <w:b/>
          <w:sz w:val="24"/>
        </w:rPr>
        <w:t>Text-To-Text Transfer Transformer (T5):</w:t>
      </w:r>
      <w:r>
        <w:rPr>
          <w:rFonts w:ascii="Times New Roman" w:hAnsi="Times New Roman"/>
          <w:sz w:val="24"/>
        </w:rPr>
        <w:t xml:space="preserve"> A Text-To-Text Transfer Transformer is a sequence-to-sequence machine learning model that casts all natural language processing tasks—including translation, summarization, and simplification—as text generation problems. A machine learning model operates as a fine-tuned T5 if it has been specialized to correctly map complex medical input strings directly to their layperson output equivalents. This architecture is based on Google's unified framework for NLP tasks.</w:t>
      </w:r>
    </w:p>
    <w:p>
      <w:pPr>
        <w:jc w:val="both"/>
      </w:pPr>
      <w:r>
        <w:rPr>
          <w:rFonts w:ascii="Times New Roman" w:hAnsi="Times New Roman"/>
          <w:b/>
          <w:sz w:val="24"/>
        </w:rPr>
        <w:t>Personally Identifiable Information (PII) Scrubbing:</w:t>
      </w:r>
      <w:r>
        <w:rPr>
          <w:rFonts w:ascii="Times New Roman" w:hAnsi="Times New Roman"/>
          <w:sz w:val="24"/>
        </w:rPr>
        <w:t xml:space="preserve"> PII Scrubbing is a privacy-preserving technique that aggressively detects and redacts sensitive patient data—such as names, ages, and contact information—before any AI inference occurs. A system implements PII scrubbing if it successfully identifies these patterns and replaces them with generic placeholder tokens. Because this step occurs prior to vector embedding, it ensures no sensitive information is ever memorized by the underlying neural networks.</w:t>
      </w:r>
    </w:p>
    <w:p>
      <w:pPr>
        <w:jc w:val="both"/>
      </w:pPr>
      <w:r>
        <w:rPr>
          <w:rFonts w:ascii="Times New Roman" w:hAnsi="Times New Roman"/>
          <w:b/>
          <w:sz w:val="24"/>
        </w:rPr>
        <w:t>Local-First Architecture:</w:t>
      </w:r>
      <w:r>
        <w:rPr>
          <w:rFonts w:ascii="Times New Roman" w:hAnsi="Times New Roman"/>
          <w:sz w:val="24"/>
        </w:rPr>
        <w:t xml:space="preserve"> A local-first architecture is a system design paradigm where all computational tasks and large language model inferences occur entirely on the user's host machine—bypassing the need for external public APIs. An application is local-first if no sensitive medical data is transmitted over the internet during its usage. This architectural decision strictly guarantees patient confidentiality and solves the primary privacy hurdle facing cloud-based healthcare 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4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