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 2 Me: Exhaustive Testing &amp; Validation Report</w:t>
      </w:r>
    </w:p>
    <w:p>
      <w:pPr>
        <w:jc w:val="center"/>
      </w:pPr>
      <w:r>
        <w:t>March 30, 2026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1. Overview</w:t>
      </w:r>
    </w:p>
    <w:p>
      <w:r>
        <w:t>This report consolidates all technical validation metrics, architectural strategies, and multimodal testing results for the Doc 2 Me health report simplification system.</w:t>
      </w:r>
    </w:p>
    <w:p>
      <w:pPr>
        <w:pStyle w:val="Heading2"/>
      </w:pPr>
      <w:r>
        <w:t>2. System Architecture &amp; Design Strategies</w:t>
      </w:r>
    </w:p>
    <w:p>
      <w:r>
        <w:t>The system implements a Tier-3 microservices architecture with a dedicated security sandbox for PII scrubbing.</w:t>
      </w:r>
    </w:p>
    <w:p>
      <w:r>
        <w:drawing>
          <wp:inline xmlns:a="http://schemas.openxmlformats.org/drawingml/2006/main" xmlns:pic="http://schemas.openxmlformats.org/drawingml/2006/picture">
            <wp:extent cx="5486400" cy="371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architecture_diagram_v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2.1: Strategic System Architecture showing Layered Tiers and Security Sandbox.</w:t>
      </w:r>
    </w:p>
    <w:p>
      <w:r>
        <w:drawing>
          <wp:inline xmlns:a="http://schemas.openxmlformats.org/drawingml/2006/main" xmlns:pic="http://schemas.openxmlformats.org/drawingml/2006/picture">
            <wp:extent cx="5029200" cy="3536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design_strategy_summa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2.2: Summary of Design Philosophy and Local-First Inference Logic.</w:t>
      </w:r>
    </w:p>
    <w:p>
      <w:pPr>
        <w:pStyle w:val="Heading2"/>
      </w:pPr>
      <w:r>
        <w:t>3. Quantitative Performance Results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project_metric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3.1: Overall Project Success Metrics (Privacy, Accuracy, Speed).</w:t>
      </w:r>
    </w:p>
    <w:p>
      <w:pPr>
        <w:pStyle w:val="Heading3"/>
      </w:pPr>
      <w:r>
        <w:t>3.1 Domain-Specific Accuracy</w:t>
      </w:r>
    </w:p>
    <w:p>
      <w:r>
        <w:drawing>
          <wp:inline xmlns:a="http://schemas.openxmlformats.org/drawingml/2006/main" xmlns:pic="http://schemas.openxmlformats.org/drawingml/2006/picture">
            <wp:extent cx="5029200" cy="3831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hematolog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3.2: Comparative Performance on Hematology (T5 vs. Baseline).</w:t>
      </w:r>
    </w:p>
    <w:p>
      <w:pPr>
        <w:pStyle w:val="Heading3"/>
      </w:pPr>
      <w:r>
        <w:t>Table 4.2: Accuracy &amp; Performance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 Category</w:t>
            </w:r>
          </w:p>
        </w:tc>
        <w:tc>
          <w:tcPr>
            <w:tcW w:type="dxa" w:w="2880"/>
          </w:tcPr>
          <w:p>
            <w:r>
              <w:t>Measured Value</w:t>
            </w:r>
          </w:p>
        </w:tc>
        <w:tc>
          <w:tcPr>
            <w:tcW w:type="dxa" w:w="2880"/>
          </w:tcPr>
          <w:p>
            <w:r>
              <w:t>Target Benchmark</w:t>
            </w:r>
          </w:p>
        </w:tc>
      </w:tr>
      <w:tr>
        <w:tc>
          <w:tcPr>
            <w:tcW w:type="dxa" w:w="2880"/>
          </w:tcPr>
          <w:p>
            <w:r>
              <w:t>Privacy (PII Redaction)</w:t>
            </w:r>
          </w:p>
        </w:tc>
        <w:tc>
          <w:tcPr>
            <w:tcW w:type="dxa" w:w="2880"/>
          </w:tcPr>
          <w:p>
            <w:r>
              <w:t>98.8%</w:t>
            </w:r>
          </w:p>
        </w:tc>
        <w:tc>
          <w:tcPr>
            <w:tcW w:type="dxa" w:w="2880"/>
          </w:tcPr>
          <w:p>
            <w:r>
              <w:t>&gt; 95.0%</w:t>
            </w:r>
          </w:p>
        </w:tc>
      </w:tr>
      <w:tr>
        <w:tc>
          <w:tcPr>
            <w:tcW w:type="dxa" w:w="2880"/>
          </w:tcPr>
          <w:p>
            <w:r>
              <w:t>Simplification Accuracy (F1)</w:t>
            </w:r>
          </w:p>
        </w:tc>
        <w:tc>
          <w:tcPr>
            <w:tcW w:type="dxa" w:w="2880"/>
          </w:tcPr>
          <w:p>
            <w:r>
              <w:t>0.89</w:t>
            </w:r>
          </w:p>
        </w:tc>
        <w:tc>
          <w:tcPr>
            <w:tcW w:type="dxa" w:w="2880"/>
          </w:tcPr>
          <w:p>
            <w:r>
              <w:t>&gt; 0.80</w:t>
            </w:r>
          </w:p>
        </w:tc>
      </w:tr>
      <w:tr>
        <w:tc>
          <w:tcPr>
            <w:tcW w:type="dxa" w:w="2880"/>
          </w:tcPr>
          <w:p>
            <w:r>
              <w:t>End-to-End Latency</w:t>
            </w:r>
          </w:p>
        </w:tc>
        <w:tc>
          <w:tcPr>
            <w:tcW w:type="dxa" w:w="2880"/>
          </w:tcPr>
          <w:p>
            <w:r>
              <w:t>1.5 sec</w:t>
            </w:r>
          </w:p>
        </w:tc>
        <w:tc>
          <w:tcPr>
            <w:tcW w:type="dxa" w:w="2880"/>
          </w:tcPr>
          <w:p>
            <w:r>
              <w:t>&lt; 3.0 sec</w:t>
            </w:r>
          </w:p>
        </w:tc>
      </w:tr>
      <w:tr>
        <w:tc>
          <w:tcPr>
            <w:tcW w:type="dxa" w:w="2880"/>
          </w:tcPr>
          <w:p>
            <w:r>
              <w:t>OCR Word Error Rate (WER)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&lt; 0.10</w:t>
            </w:r>
          </w:p>
        </w:tc>
      </w:tr>
    </w:tbl>
    <w:p>
      <w:pPr>
        <w:pStyle w:val="Heading2"/>
      </w:pPr>
      <w:r>
        <w:t>4. Expert-in-the-Loop Reinforcement</w:t>
      </w:r>
    </w:p>
    <w:p>
      <w:r>
        <w:t>The system feature a human-in-the-loop validation layer where medical experts can correct and refine AI-generated definitions. These corrections are permanently appended to the FAISS-grounded knowledge base.</w:t>
      </w:r>
    </w:p>
    <w:p>
      <w:r>
        <w:drawing>
          <wp:inline xmlns:a="http://schemas.openxmlformats.org/drawingml/2006/main" xmlns:pic="http://schemas.openxmlformats.org/drawingml/2006/picture">
            <wp:extent cx="5029200" cy="3536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discussion_slid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4.1: Technical Discussion on Reinforcement Loop and Hallucination Reduction.</w:t>
      </w:r>
    </w:p>
    <w:p>
      <w:pPr>
        <w:pStyle w:val="Heading2"/>
      </w:pPr>
      <w:r>
        <w:t>5. Multimodal Case Studies</w:t>
      </w:r>
    </w:p>
    <w:p>
      <w:r>
        <w:t>To validate the multimodal pipeline, the system was tested across 21 assets. Below are the primary case studies for Hematology and Radiology.</w:t>
      </w:r>
    </w:p>
    <w:p>
      <w:r>
        <w:drawing>
          <wp:inline xmlns:a="http://schemas.openxmlformats.org/drawingml/2006/main" xmlns:pic="http://schemas.openxmlformats.org/drawingml/2006/picture">
            <wp:extent cx="5029200" cy="3641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sample_hematolog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4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468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sample_radiolog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Final Summary &amp; Future Scope</w:t>
      </w:r>
    </w:p>
    <w:p>
      <w:r>
        <w:drawing>
          <wp:inline xmlns:a="http://schemas.openxmlformats.org/drawingml/2006/main" xmlns:pic="http://schemas.openxmlformats.org/drawingml/2006/picture">
            <wp:extent cx="5486400" cy="35360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conclusion_future_slid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6.1: Conclusion and Strategic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