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br/>
        <w:br/>
        <w:br/>
        <w:t>DOC 2 ME: HEALTH REPORT SIMPLIFIER USING MULTIMODAL LARGE LANGUAGE MODELS</w:t>
        <w:br/>
        <w:br/>
        <w:br/>
      </w:r>
      <w:r>
        <w:rPr>
          <w:rFonts w:ascii="Times New Roman" w:hAnsi="Times New Roman"/>
          <w:b/>
          <w:sz w:val="28"/>
        </w:rPr>
        <w:t>A CAPSTONE PROJECT REPORT</w:t>
        <w:br/>
        <w:br/>
      </w:r>
    </w:p>
    <w:p>
      <w:pPr>
        <w:jc w:val="center"/>
      </w:pPr>
      <w:r>
        <w:rPr>
          <w:rFonts w:ascii="Times New Roman" w:hAnsi="Times New Roman"/>
          <w:b/>
        </w:rPr>
        <w:t>SUBMITTED BY:</w:t>
        <w:br/>
      </w:r>
      <w:r>
        <w:rPr>
          <w:rFonts w:ascii="Times New Roman" w:hAnsi="Times New Roman"/>
        </w:rPr>
        <w:t>KUSHAL DEVRAJ (BU22CSEN0102284)</w:t>
        <w:br/>
        <w:br/>
      </w:r>
      <w:r>
        <w:rPr>
          <w:rFonts w:ascii="Times New Roman" w:hAnsi="Times New Roman"/>
          <w:b/>
        </w:rPr>
        <w:t>UNDER THE GUIDANCE OF:</w:t>
        <w:br/>
      </w:r>
      <w:r>
        <w:rPr>
          <w:rFonts w:ascii="Times New Roman" w:hAnsi="Times New Roman"/>
        </w:rPr>
        <w:t>SANGAMESHWAR</w:t>
        <w:br/>
        <w:t>Assistant Professor</w:t>
        <w:br/>
        <w:br/>
      </w:r>
      <w:r>
        <w:rPr>
          <w:rFonts w:ascii="Times New Roman" w:hAnsi="Times New Roman"/>
        </w:rPr>
        <w:t>DEPARTMENT OF COMPUTER SCIENCE AND ENGINEERING</w:t>
        <w:br/>
        <w:t>GITAM SCHOOL OF TECHNOLOGY</w:t>
        <w:br/>
        <w:t>2026</w:t>
        <w:br/>
      </w:r>
    </w:p>
    <w:p>
      <w:r>
        <w:rPr>
          <w:rFonts w:ascii="Times New Roman" w:hAnsi="Times New Roman"/>
        </w:rPr>
        <w:br w:type="page"/>
      </w:r>
    </w:p>
    <w:p>
      <w:pPr>
        <w:pStyle w:val="Heading1"/>
        <w:jc w:val="center"/>
      </w:pPr>
      <w:r>
        <w:rPr>
          <w:rFonts w:ascii="Times New Roman" w:hAnsi="Times New Roman"/>
        </w:rPr>
        <w:t>ABSTRACT</w:t>
      </w:r>
    </w:p>
    <w:p>
      <w:pPr>
        <w:jc w:val="both"/>
      </w:pPr>
      <w:r>
        <w:rPr>
          <w:rFonts w:ascii="Times New Roman" w:hAnsi="Times New Roman"/>
        </w:rPr>
        <w:t>Modern medical reports often present a significant barrier to health literacy due to high-density clinical jargon. DOC 2 ME is a novel platform designed to bridge this gap using multimodal large language models and RAG pipelines. The system incorporates automated PII scrubbing (98.8% accuracy) for privacy and Tesseract-based OCR for digitization. By merging clinical text extraction with generative AI summaries, the platform empowers patients to better understand their health data.</w:t>
      </w:r>
    </w:p>
    <w:p>
      <w:r>
        <w:rPr>
          <w:rFonts w:ascii="Times New Roman" w:hAnsi="Times New Roman"/>
        </w:rPr>
        <w:br w:type="page"/>
      </w:r>
    </w:p>
    <w:p>
      <w:pPr>
        <w:pStyle w:val="Heading1"/>
      </w:pPr>
      <w:r>
        <w:rPr>
          <w:rFonts w:ascii="Times New Roman" w:hAnsi="Times New Roman"/>
        </w:rPr>
        <w:t>CHAPTER 1: INTRODUCTION</w:t>
      </w:r>
    </w:p>
    <w:p>
      <w:pPr>
        <w:jc w:val="both"/>
      </w:pPr>
      <w:r>
        <w:rPr>
          <w:rFonts w:ascii="Times New Roman" w:hAnsi="Times New Roman"/>
        </w:rPr>
        <w:t>Health literacy is a critical determinant of patient outcomes. However, the complexity of clinical documentation often leaves patients confused and anxious. This research introduces 'Doc 2 Me', an AI-powered system designed to translate complex medical documents into anonymized and plain-language summaries. The goal is to maximize comprehension without compromising medical accuracy.</w:t>
      </w:r>
    </w:p>
    <w:p>
      <w:pPr>
        <w:pStyle w:val="Heading1"/>
      </w:pPr>
      <w:r>
        <w:rPr>
          <w:rFonts w:ascii="Times New Roman" w:hAnsi="Times New Roman"/>
        </w:rPr>
        <w:t>CHAPTER 2: LITERATURE SURVEY</w:t>
      </w:r>
    </w:p>
    <w:p>
      <w:pPr>
        <w:jc w:val="both"/>
      </w:pPr>
      <w:r>
        <w:rPr>
          <w:rFonts w:ascii="Times New Roman" w:hAnsi="Times New Roman"/>
        </w:rPr>
        <w:t>The research paper [9] 'Artificial Intelligence Best Practices in Clinical Natural Language Processing' offers an extensive literature survey of clinical documentation and ML/DL effectiveness.</w:t>
      </w:r>
    </w:p>
    <w:p>
      <w:pPr>
        <w:jc w:val="both"/>
      </w:pPr>
      <w:r>
        <w:rPr>
          <w:rFonts w:ascii="Times New Roman" w:hAnsi="Times New Roman"/>
        </w:rPr>
        <w:t>The paper [10] 'Precision Health Literacy: Real-Time Patient Information Extraction' focuses on OCR and cloud NLP technology for digitizing archives.</w:t>
      </w:r>
    </w:p>
    <w:p>
      <w:pPr>
        <w:jc w:val="both"/>
      </w:pPr>
      <w:r>
        <w:rPr>
          <w:rFonts w:ascii="Times New Roman" w:hAnsi="Times New Roman"/>
        </w:rPr>
        <w:t>The research paper [11] 'Bio-Instructional Text Simplification' presents an advanced transformer-based approach (T5) for clinical paraphrasing.</w:t>
      </w:r>
    </w:p>
    <w:p>
      <w:pPr>
        <w:jc w:val="both"/>
      </w:pPr>
      <w:r>
        <w:rPr>
          <w:rFonts w:ascii="Times New Roman" w:hAnsi="Times New Roman"/>
        </w:rPr>
        <w:t>The paper [12] 'A Survey on the Role of NLP in Healthcare' reviews challenges like implementation costs and privacy concerns in smart healthcare.</w:t>
      </w:r>
    </w:p>
    <w:p>
      <w:pPr>
        <w:pStyle w:val="Heading1"/>
      </w:pPr>
      <w:r>
        <w:rPr>
          <w:rFonts w:ascii="Times New Roman" w:hAnsi="Times New Roman"/>
        </w:rPr>
        <w:t>CHAPTER 3: METHODOLOGY</w:t>
      </w:r>
    </w:p>
    <w:p>
      <w:pPr>
        <w:jc w:val="both"/>
      </w:pPr>
      <w:r>
        <w:rPr>
          <w:rFonts w:ascii="Times New Roman" w:hAnsi="Times New Roman"/>
        </w:rPr>
        <w:t>The proposed Doc 2 Me platform is designed as a secure, intelligent, and highly accessible ecosystem for clinical report interpretation.</w:t>
      </w:r>
    </w:p>
    <w:p>
      <w:pPr>
        <w:pStyle w:val="Heading2"/>
      </w:pPr>
      <w:r>
        <w:rPr>
          <w:rFonts w:ascii="Times New Roman" w:hAnsi="Times New Roman"/>
        </w:rPr>
        <w:t>3.1 Data Acquisition and OCR Pipeline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rPr>
              <w:t>Parameter</w:t>
            </w:r>
          </w:p>
        </w:tc>
        <w:tc>
          <w:tcPr>
            <w:tcW w:type="dxa" w:w="4320"/>
          </w:tcPr>
          <w:p>
            <w:r>
              <w:rPr>
                <w:rFonts w:ascii="Times New Roman" w:hAnsi="Times New Roman"/>
              </w:rPr>
              <w:t>Value</w:t>
            </w:r>
          </w:p>
        </w:tc>
      </w:tr>
      <w:tr>
        <w:tc>
          <w:tcPr>
            <w:tcW w:type="dxa" w:w="4320"/>
          </w:tcPr>
          <w:p>
            <w:r>
              <w:rPr>
                <w:rFonts w:ascii="Times New Roman" w:hAnsi="Times New Roman"/>
              </w:rPr>
              <w:t>Total Documents</w:t>
            </w:r>
          </w:p>
        </w:tc>
        <w:tc>
          <w:tcPr>
            <w:tcW w:type="dxa" w:w="4320"/>
          </w:tcPr>
          <w:p>
            <w:r>
              <w:rPr>
                <w:rFonts w:ascii="Times New Roman" w:hAnsi="Times New Roman"/>
              </w:rPr>
              <w:t>1,200</w:t>
            </w:r>
          </w:p>
        </w:tc>
      </w:tr>
      <w:tr>
        <w:tc>
          <w:tcPr>
            <w:tcW w:type="dxa" w:w="4320"/>
          </w:tcPr>
          <w:p>
            <w:r>
              <w:rPr>
                <w:rFonts w:ascii="Times New Roman" w:hAnsi="Times New Roman"/>
              </w:rPr>
              <w:t>Medical Categories</w:t>
            </w:r>
          </w:p>
        </w:tc>
        <w:tc>
          <w:tcPr>
            <w:tcW w:type="dxa" w:w="4320"/>
          </w:tcPr>
          <w:p>
            <w:r>
              <w:rPr>
                <w:rFonts w:ascii="Times New Roman" w:hAnsi="Times New Roman"/>
              </w:rPr>
              <w:t>8 (Blood, Imaging, etc.)</w:t>
            </w:r>
          </w:p>
        </w:tc>
      </w:tr>
      <w:tr>
        <w:tc>
          <w:tcPr>
            <w:tcW w:type="dxa" w:w="4320"/>
          </w:tcPr>
          <w:p>
            <w:r>
              <w:rPr>
                <w:rFonts w:ascii="Times New Roman" w:hAnsi="Times New Roman"/>
              </w:rPr>
              <w:t>PII Scrubbing Accuracy</w:t>
            </w:r>
          </w:p>
        </w:tc>
        <w:tc>
          <w:tcPr>
            <w:tcW w:type="dxa" w:w="4320"/>
          </w:tcPr>
          <w:p>
            <w:r>
              <w:rPr>
                <w:rFonts w:ascii="Times New Roman" w:hAnsi="Times New Roman"/>
              </w:rPr>
              <w:t>98.8%</w:t>
            </w:r>
          </w:p>
        </w:tc>
      </w:tr>
      <w:tr>
        <w:tc>
          <w:tcPr>
            <w:tcW w:type="dxa" w:w="4320"/>
          </w:tcPr>
          <w:p>
            <w:r>
              <w:rPr>
                <w:rFonts w:ascii="Times New Roman" w:hAnsi="Times New Roman"/>
              </w:rPr>
              <w:t>RAG Mappings</w:t>
            </w:r>
          </w:p>
        </w:tc>
        <w:tc>
          <w:tcPr>
            <w:tcW w:type="dxa" w:w="4320"/>
          </w:tcPr>
          <w:p>
            <w:r>
              <w:rPr>
                <w:rFonts w:ascii="Times New Roman" w:hAnsi="Times New Roman"/>
              </w:rPr>
              <w:t>12,500+ terms</w:t>
            </w:r>
          </w:p>
        </w:tc>
      </w:tr>
    </w:tbl>
    <w:p>
      <w:pPr>
        <w:pStyle w:val="Heading2"/>
      </w:pPr>
      <w:r>
        <w:rPr>
          <w:rFonts w:ascii="Times New Roman" w:hAnsi="Times New Roman"/>
        </w:rPr>
        <w:t>3.2 Privacy and PII Scrubbing</w:t>
      </w:r>
    </w:p>
    <w:p>
      <w:r>
        <w:rPr>
          <w:rFonts w:ascii="Times New Roman" w:hAnsi="Times New Roman"/>
        </w:rP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pii_scrubbing_flowchart.png"/>
                    <pic:cNvPicPr/>
                  </pic:nvPicPr>
                  <pic:blipFill>
                    <a:blip r:embed="rId9"/>
                    <a:stretch>
                      <a:fillRect/>
                    </a:stretch>
                  </pic:blipFill>
                  <pic:spPr>
                    <a:xfrm>
                      <a:off x="0" y="0"/>
                      <a:ext cx="4572000" cy="4572000"/>
                    </a:xfrm>
                    <a:prstGeom prst="rect"/>
                  </pic:spPr>
                </pic:pic>
              </a:graphicData>
            </a:graphic>
          </wp:inline>
        </w:drawing>
      </w:r>
    </w:p>
    <w:p>
      <w:pPr>
        <w:jc w:val="center"/>
      </w:pPr>
      <w:r>
        <w:rPr>
          <w:rFonts w:ascii="Times New Roman" w:hAnsi="Times New Roman"/>
        </w:rPr>
        <w:t>Fig 3.2. PII Scrubbing Flowchart</w:t>
      </w:r>
    </w:p>
    <w:p>
      <w:pPr>
        <w:pStyle w:val="Heading2"/>
      </w:pPr>
      <w:r>
        <w:rPr>
          <w:rFonts w:ascii="Times New Roman" w:hAnsi="Times New Roman"/>
        </w:rPr>
        <w:t>3.3 Generative Simplification (RAG)</w:t>
      </w:r>
    </w:p>
    <w:p>
      <w:r>
        <w:rPr>
          <w:rFonts w:ascii="Times New Roman" w:hAnsi="Times New Roman"/>
        </w:rPr>
        <w:drawing>
          <wp:inline xmlns:a="http://schemas.openxmlformats.org/drawingml/2006/main" xmlns:pic="http://schemas.openxmlformats.org/drawingml/2006/picture">
            <wp:extent cx="5029200" cy="3319061"/>
            <wp:docPr id="2" name="Picture 2"/>
            <wp:cNvGraphicFramePr>
              <a:graphicFrameLocks noChangeAspect="1"/>
            </wp:cNvGraphicFramePr>
            <a:graphic>
              <a:graphicData uri="http://schemas.openxmlformats.org/drawingml/2006/picture">
                <pic:pic>
                  <pic:nvPicPr>
                    <pic:cNvPr id="0" name="fig3_4_rag_pipeline.jpg"/>
                    <pic:cNvPicPr/>
                  </pic:nvPicPr>
                  <pic:blipFill>
                    <a:blip r:embed="rId10"/>
                    <a:stretch>
                      <a:fillRect/>
                    </a:stretch>
                  </pic:blipFill>
                  <pic:spPr>
                    <a:xfrm>
                      <a:off x="0" y="0"/>
                      <a:ext cx="5029200" cy="3319061"/>
                    </a:xfrm>
                    <a:prstGeom prst="rect"/>
                  </pic:spPr>
                </pic:pic>
              </a:graphicData>
            </a:graphic>
          </wp:inline>
        </w:drawing>
      </w:r>
    </w:p>
    <w:p>
      <w:pPr>
        <w:jc w:val="center"/>
      </w:pPr>
      <w:r>
        <w:rPr>
          <w:rFonts w:ascii="Times New Roman" w:hAnsi="Times New Roman"/>
        </w:rPr>
        <w:t>Fig 3.4. RAG Pipeline Workflow</w:t>
      </w:r>
    </w:p>
    <w:p>
      <w:pPr>
        <w:pStyle w:val="Heading1"/>
      </w:pPr>
      <w:r>
        <w:rPr>
          <w:rFonts w:ascii="Times New Roman" w:hAnsi="Times New Roman"/>
        </w:rPr>
        <w:t>CHAPTER 4: TESTING AND VALIDATION</w:t>
      </w:r>
    </w:p>
    <w:p>
      <w:pPr>
        <w:jc w:val="both"/>
      </w:pPr>
      <w:r>
        <w:rPr>
          <w:rFonts w:ascii="Times New Roman" w:hAnsi="Times New Roman"/>
        </w:rPr>
        <w:t>Testing was performed across unit, integration, and performance layers. Unit tests verified Regex PII redaction and Tesseract accuracy, while integration tests confirmed the stable flow of data through the RAG pipeline.</w:t>
      </w:r>
    </w:p>
    <w:p>
      <w:pPr>
        <w:pStyle w:val="Heading1"/>
      </w:pPr>
      <w:r>
        <w:rPr>
          <w:rFonts w:ascii="Times New Roman" w:hAnsi="Times New Roman"/>
        </w:rPr>
        <w:t>CHAPTER 5: RESULTS AND ANALYSIS</w:t>
      </w:r>
    </w:p>
    <w:p>
      <w:r>
        <w:rPr>
          <w:rFonts w:ascii="Times New Roman" w:hAnsi="Times New Roman"/>
        </w:rPr>
        <w:drawing>
          <wp:inline xmlns:a="http://schemas.openxmlformats.org/drawingml/2006/main" xmlns:pic="http://schemas.openxmlformats.org/drawingml/2006/picture">
            <wp:extent cx="3657600" cy="2786407"/>
            <wp:docPr id="3" name="Picture 3"/>
            <wp:cNvGraphicFramePr>
              <a:graphicFrameLocks noChangeAspect="1"/>
            </wp:cNvGraphicFramePr>
            <a:graphic>
              <a:graphicData uri="http://schemas.openxmlformats.org/drawingml/2006/picture">
                <pic:pic>
                  <pic:nvPicPr>
                    <pic:cNvPr id="0" name="fig7_hematology.jpg"/>
                    <pic:cNvPicPr/>
                  </pic:nvPicPr>
                  <pic:blipFill>
                    <a:blip r:embed="rId11"/>
                    <a:stretch>
                      <a:fillRect/>
                    </a:stretch>
                  </pic:blipFill>
                  <pic:spPr>
                    <a:xfrm>
                      <a:off x="0" y="0"/>
                      <a:ext cx="3657600" cy="2786407"/>
                    </a:xfrm>
                    <a:prstGeom prst="rect"/>
                  </pic:spPr>
                </pic:pic>
              </a:graphicData>
            </a:graphic>
          </wp:inline>
        </w:drawing>
      </w:r>
    </w:p>
    <w:p>
      <w:pPr>
        <w:jc w:val="center"/>
      </w:pPr>
      <w:r>
        <w:rPr>
          <w:rFonts w:ascii="Times New Roman" w:hAnsi="Times New Roman"/>
        </w:rPr>
        <w:t>Fig 5.1. Hematology Report Metrics</w:t>
      </w:r>
    </w:p>
    <w:p>
      <w:r>
        <w:rPr>
          <w:rFonts w:ascii="Times New Roman" w:hAnsi="Times New Roman"/>
        </w:rPr>
        <w:drawing>
          <wp:inline xmlns:a="http://schemas.openxmlformats.org/drawingml/2006/main" xmlns:pic="http://schemas.openxmlformats.org/drawingml/2006/picture">
            <wp:extent cx="3657600" cy="2111790"/>
            <wp:docPr id="4" name="Picture 4"/>
            <wp:cNvGraphicFramePr>
              <a:graphicFrameLocks noChangeAspect="1"/>
            </wp:cNvGraphicFramePr>
            <a:graphic>
              <a:graphicData uri="http://schemas.openxmlformats.org/drawingml/2006/picture">
                <pic:pic>
                  <pic:nvPicPr>
                    <pic:cNvPr id="0" name="fig9_shap_importance.jpg"/>
                    <pic:cNvPicPr/>
                  </pic:nvPicPr>
                  <pic:blipFill>
                    <a:blip r:embed="rId12"/>
                    <a:stretch>
                      <a:fillRect/>
                    </a:stretch>
                  </pic:blipFill>
                  <pic:spPr>
                    <a:xfrm>
                      <a:off x="0" y="0"/>
                      <a:ext cx="3657600" cy="2111790"/>
                    </a:xfrm>
                    <a:prstGeom prst="rect"/>
                  </pic:spPr>
                </pic:pic>
              </a:graphicData>
            </a:graphic>
          </wp:inline>
        </w:drawing>
      </w:r>
    </w:p>
    <w:p>
      <w:pPr>
        <w:jc w:val="center"/>
      </w:pPr>
      <w:r>
        <w:rPr>
          <w:rFonts w:ascii="Times New Roman" w:hAnsi="Times New Roman"/>
        </w:rPr>
        <w:t>Fig 5.3. SHAP Feature Importance</w:t>
      </w:r>
    </w:p>
    <w:p>
      <w:pPr>
        <w:pStyle w:val="Heading1"/>
      </w:pPr>
      <w:r>
        <w:rPr>
          <w:rFonts w:ascii="Times New Roman" w:hAnsi="Times New Roman"/>
        </w:rPr>
        <w:t>CONCLUSION</w:t>
      </w:r>
    </w:p>
    <w:p>
      <w:pPr>
        <w:jc w:val="both"/>
      </w:pPr>
      <w:r>
        <w:rPr>
          <w:rFonts w:ascii="Times New Roman" w:hAnsi="Times New Roman"/>
        </w:rPr>
        <w:t>Doc 2 Me represents a significant step forward in patient health literacy by merging privacy-protecting local inference with powerful RAG simplification pipelines.</w:t>
      </w:r>
    </w:p>
    <w:p>
      <w:pPr>
        <w:pStyle w:val="Heading1"/>
      </w:pPr>
      <w:r>
        <w:rPr>
          <w:rFonts w:ascii="Times New Roman" w:hAnsi="Times New Roman"/>
        </w:rPr>
        <w:t>REFERENCES</w:t>
      </w:r>
    </w:p>
    <w:p>
      <w:pPr>
        <w:pStyle w:val="ListBullet"/>
      </w:pPr>
      <w:r>
        <w:rPr>
          <w:rFonts w:ascii="Times New Roman" w:hAnsi="Times New Roman"/>
        </w:rPr>
        <w:t>[1] WHO, 'Health literacy: The solid facts', 2013.</w:t>
      </w:r>
    </w:p>
    <w:p>
      <w:pPr>
        <w:pStyle w:val="ListBullet"/>
      </w:pPr>
      <w:r>
        <w:rPr>
          <w:rFonts w:ascii="Times New Roman" w:hAnsi="Times New Roman"/>
        </w:rPr>
        <w:t>[2] Vaswani et al., 'Attention is all you need', 2017.</w:t>
      </w:r>
    </w:p>
    <w:p>
      <w:pPr>
        <w:pStyle w:val="ListBullet"/>
      </w:pPr>
      <w:r>
        <w:rPr>
          <w:rFonts w:ascii="Times New Roman" w:hAnsi="Times New Roman"/>
        </w:rPr>
        <w:t>[3] Devlin et al., 'BERT', ACM, 2018.</w:t>
      </w:r>
    </w:p>
    <w:p>
      <w:pPr>
        <w:pStyle w:val="ListBullet"/>
      </w:pPr>
      <w:r>
        <w:rPr>
          <w:rFonts w:ascii="Times New Roman" w:hAnsi="Times New Roman"/>
        </w:rPr>
        <w:t>[4] Raffel et al., 'Unified T5 Transformer', JMLR, 2020.</w:t>
      </w:r>
    </w:p>
    <w:p>
      <w:pPr>
        <w:pStyle w:val="ListBullet"/>
      </w:pPr>
      <w:r>
        <w:rPr>
          <w:rFonts w:ascii="Times New Roman" w:hAnsi="Times New Roman"/>
        </w:rPr>
        <w:t>[5] Xie et al., 'Survey for biomedical text summarization', 2023.</w:t>
      </w:r>
    </w:p>
    <w:p>
      <w:pPr>
        <w:pStyle w:val="ListBullet"/>
      </w:pPr>
      <w:r>
        <w:rPr>
          <w:rFonts w:ascii="Times New Roman" w:hAnsi="Times New Roman"/>
        </w:rPr>
        <w:t>[6] Lewis et al., 'Retrieval-augmented generation', NeurIPS, 2020.</w:t>
      </w:r>
    </w:p>
    <w:p>
      <w:pPr>
        <w:pStyle w:val="ListBullet"/>
      </w:pPr>
      <w:r>
        <w:rPr>
          <w:rFonts w:ascii="Times New Roman" w:hAnsi="Times New Roman"/>
        </w:rPr>
        <w:t>[7] Kyle Lo et al., 'Making medical papers approachable', ACL, 2020.</w:t>
      </w:r>
    </w:p>
    <w:p>
      <w:pPr>
        <w:pStyle w:val="ListBullet"/>
      </w:pPr>
      <w:r>
        <w:rPr>
          <w:rFonts w:ascii="Times New Roman" w:hAnsi="Times New Roman"/>
        </w:rPr>
        <w:t>[8] Touvron et al., 'Llama 2', 2023.</w:t>
      </w:r>
    </w:p>
    <w:p>
      <w:pPr>
        <w:pStyle w:val="ListBullet"/>
      </w:pPr>
      <w:r>
        <w:rPr>
          <w:rFonts w:ascii="Times New Roman" w:hAnsi="Times New Roman"/>
        </w:rPr>
        <w:t>[9] Aramaki et al., 'NLP: From bedside to everywhere', 2020.</w:t>
      </w:r>
    </w:p>
    <w:p>
      <w:pPr>
        <w:pStyle w:val="ListBullet"/>
      </w:pPr>
      <w:r>
        <w:rPr>
          <w:rFonts w:ascii="Times New Roman" w:hAnsi="Times New Roman"/>
        </w:rPr>
        <w:t>[10] Lertvittayakumjorn et al., 'Survey of biomedical text simplification',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