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sz w:val="32"/>
          <w:szCs w:val="32"/>
        </w:rPr>
        <w:t xml:space="preserve">WEB-BASED ML MODEL EVALUATOR</w:t>
      </w:r>
    </w:p>
    <w:p>
      <w:pPr>
        <w:pStyle w:val="Heading1"/>
        <w:spacing w:after="150" w:before="200"/>
      </w:pPr>
      <w:r>
        <w:t xml:space="preserve">Security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850"/>
        <w:gridCol w:w="3300"/>
        <w:gridCol w:w="1000"/>
        <w:gridCol w:w="2950"/>
        <w:gridCol w:w="2340"/>
      </w:tblGrid>
      <w:tr>
        <w:trPr>
          <w:tblHeader/>
        </w:trPr>
        <w:tc>
          <w:tcPr>
            <w:tcW w:type="dxa" w:w="850"/>
            <w:shd w:fill="D9E2F3" w:val="clear"/>
            <w:tcMar>
              <w:top w:type="dxa" w:w="80"/>
              <w:left w:type="dxa" w:w="100"/>
              <w:bottom w:type="dxa" w:w="80"/>
              <w:right w:type="dxa" w:w="100"/>
            </w:tcMar>
          </w:tcPr>
          <w:p>
            <w:pPr>
              <w:jc w:val="left"/>
            </w:pPr>
            <w:r>
              <w:rPr>
                <w:rFonts w:ascii="Calibri" w:cs="Calibri" w:eastAsia="Calibri" w:hAnsi="Calibri"/>
                <w:b/>
                <w:bCs/>
                <w:sz w:val="19"/>
                <w:szCs w:val="19"/>
              </w:rPr>
              <w:t xml:space="preserve">Req ID</w:t>
            </w:r>
          </w:p>
        </w:tc>
        <w:tc>
          <w:tcPr>
            <w:tcW w:type="dxa" w:w="3300"/>
            <w:shd w:fill="D9E2F3" w:val="clear"/>
            <w:tcMar>
              <w:top w:type="dxa" w:w="80"/>
              <w:left w:type="dxa" w:w="100"/>
              <w:bottom w:type="dxa" w:w="80"/>
              <w:right w:type="dxa" w:w="100"/>
            </w:tcMar>
          </w:tcPr>
          <w:p>
            <w:pPr>
              <w:jc w:val="left"/>
            </w:pPr>
            <w:r>
              <w:rPr>
                <w:rFonts w:ascii="Calibri" w:cs="Calibri" w:eastAsia="Calibri" w:hAnsi="Calibri"/>
                <w:b/>
                <w:bCs/>
                <w:sz w:val="19"/>
                <w:szCs w:val="19"/>
              </w:rPr>
              <w:t xml:space="preserve">Description</w:t>
            </w:r>
          </w:p>
        </w:tc>
        <w:tc>
          <w:tcPr>
            <w:tcW w:type="dxa" w:w="1000"/>
            <w:shd w:fill="D9E2F3" w:val="clear"/>
            <w:tcMar>
              <w:top w:type="dxa" w:w="80"/>
              <w:left w:type="dxa" w:w="100"/>
              <w:bottom w:type="dxa" w:w="80"/>
              <w:right w:type="dxa" w:w="100"/>
            </w:tcMar>
          </w:tcPr>
          <w:p>
            <w:pPr>
              <w:jc w:val="left"/>
            </w:pPr>
            <w:r>
              <w:rPr>
                <w:rFonts w:ascii="Calibri" w:cs="Calibri" w:eastAsia="Calibri" w:hAnsi="Calibri"/>
                <w:b/>
                <w:bCs/>
                <w:sz w:val="19"/>
                <w:szCs w:val="19"/>
              </w:rPr>
              <w:t xml:space="preserve">Priority</w:t>
            </w:r>
          </w:p>
        </w:tc>
        <w:tc>
          <w:tcPr>
            <w:tcW w:type="dxa" w:w="2950"/>
            <w:shd w:fill="D9E2F3" w:val="clear"/>
            <w:tcMar>
              <w:top w:type="dxa" w:w="80"/>
              <w:left w:type="dxa" w:w="100"/>
              <w:bottom w:type="dxa" w:w="80"/>
              <w:right w:type="dxa" w:w="100"/>
            </w:tcMar>
          </w:tcPr>
          <w:p>
            <w:pPr>
              <w:jc w:val="left"/>
            </w:pPr>
            <w:r>
              <w:rPr>
                <w:rFonts w:ascii="Calibri" w:cs="Calibri" w:eastAsia="Calibri" w:hAnsi="Calibri"/>
                <w:b/>
                <w:bCs/>
                <w:sz w:val="19"/>
                <w:szCs w:val="19"/>
              </w:rPr>
              <w:t xml:space="preserve">Acceptance Criteria</w:t>
            </w:r>
          </w:p>
        </w:tc>
        <w:tc>
          <w:tcPr>
            <w:tcW w:type="dxa" w:w="2340"/>
            <w:shd w:fill="D9E2F3" w:val="clear"/>
            <w:tcMar>
              <w:top w:type="dxa" w:w="80"/>
              <w:left w:type="dxa" w:w="100"/>
              <w:bottom w:type="dxa" w:w="80"/>
              <w:right w:type="dxa" w:w="100"/>
            </w:tcMar>
          </w:tcPr>
          <w:p>
            <w:pPr>
              <w:jc w:val="left"/>
            </w:pPr>
            <w:r>
              <w:rPr>
                <w:rFonts w:ascii="Calibri" w:cs="Calibri" w:eastAsia="Calibri" w:hAnsi="Calibri"/>
                <w:b/>
                <w:bCs/>
                <w:sz w:val="19"/>
                <w:szCs w:val="19"/>
              </w:rPr>
              <w:t xml:space="preserve">Rationale</w:t>
            </w:r>
          </w:p>
        </w:tc>
      </w:tr>
      <w:tr>
        <w:tc>
          <w:tcPr>
            <w:tcW w:type="dxa" w:w="8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FR-01</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Analysts can register for an account through the public registration process and log in once registered. Admin accounts are not self-registered: an Admin account is created or promoted by an existing Admin. In both cases, a user can only reach the functionality permitted for their role after a successful login.</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2950"/>
            <w:tcMar>
              <w:top w:type="dxa" w:w="80"/>
              <w:left w:type="dxa" w:w="100"/>
              <w:bottom w:type="dxa" w:w="80"/>
              <w:right w:type="dxa" w:w="100"/>
            </w:tcMar>
          </w:tcPr>
          <w:p>
            <w:pPr>
              <w:spacing w:after="60"/>
            </w:pPr>
            <w:r>
              <w:rPr>
                <w:rFonts w:ascii="Calibri" w:cs="Calibri" w:eastAsia="Calibri" w:hAnsi="Calibri"/>
                <w:sz w:val="19"/>
                <w:szCs w:val="19"/>
              </w:rPr>
              <w:t xml:space="preserve">Pass: a valid login opens the dashboard for the correct role, and a new Analyst account is created only through registration; no registration path allows a user to grant themselves the Admin role.</w:t>
            </w:r>
          </w:p>
          <w:p>
            <w:pPr>
              <w:spacing w:after="60"/>
            </w:pPr>
            <w:r>
              <w:rPr>
                <w:rFonts w:ascii="Calibri" w:cs="Calibri" w:eastAsia="Calibri" w:hAnsi="Calibri"/>
                <w:sz w:val="19"/>
                <w:szCs w:val="19"/>
              </w:rPr>
              <w:t xml:space="preserve">Fail: an invalid login still grants access, an Analyst is able to reach Admin-only pages, or a new account can be created with the Admin role directly through registration.</w:t>
            </w:r>
          </w:p>
        </w:tc>
        <w:tc>
          <w:tcPr>
            <w:tcW w:type="dxa" w:w="234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Everything else in the system depends on knowing who is logged in. Restricting how the Admin role is granted also prevents an ordinary Analyst from escalating their own privileges.</w:t>
            </w:r>
          </w:p>
        </w:tc>
      </w:tr>
      <w:tr>
        <w:tc>
          <w:tcPr>
            <w:tcW w:type="dxa" w:w="8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FR-08</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The Admin can view the list of registered accounts, suspend or reactivate an account, and assign or change a registered account's role between Analyst and Admin. Every account-status change and every role change is recorded in the audit log, together with who made it and when. An Admin cannot suspend their own account, and the system does not allow the last remaining Admin account to be suspended or have its role changed away from Admin.</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2950"/>
            <w:tcMar>
              <w:top w:type="dxa" w:w="80"/>
              <w:left w:type="dxa" w:w="100"/>
              <w:bottom w:type="dxa" w:w="80"/>
              <w:right w:type="dxa" w:w="100"/>
            </w:tcMar>
          </w:tcPr>
          <w:p>
            <w:pPr>
              <w:spacing w:after="60"/>
            </w:pPr>
            <w:r>
              <w:rPr>
                <w:rFonts w:ascii="Calibri" w:cs="Calibri" w:eastAsia="Calibri" w:hAnsi="Calibri"/>
                <w:sz w:val="19"/>
                <w:szCs w:val="19"/>
              </w:rPr>
              <w:t xml:space="preserve">Pass: a suspended account cannot log in until reactivated, a role change takes effect immediately, both kinds of change are logged with who made them and when, and an attempt to suspend or demote the last remaining Admin account is rejected.</w:t>
            </w:r>
          </w:p>
          <w:p>
            <w:pPr>
              <w:spacing w:after="60"/>
            </w:pPr>
            <w:r>
              <w:rPr>
                <w:rFonts w:ascii="Calibri" w:cs="Calibri" w:eastAsia="Calibri" w:hAnsi="Calibri"/>
                <w:sz w:val="19"/>
                <w:szCs w:val="19"/>
              </w:rPr>
              <w:t xml:space="preserve">Fail: a suspended account can still log in, a role change is not logged, or the system allows the last Admin account to be suspended or demoted, leaving nobody able to administer the platform.</w:t>
            </w:r>
          </w:p>
        </w:tc>
        <w:tc>
          <w:tcPr>
            <w:tcW w:type="dxa" w:w="234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Since Admin is a separate actor, this is the requirement that gives that role its actual responsibilities — managing accounts and roles — with one shared safeguard against removing the last Admin from either action, since either could otherwise lock the platform out of administrative control.</w:t>
            </w:r>
          </w:p>
        </w:tc>
      </w:tr>
      <w:tr>
        <w:tc>
          <w:tcPr>
            <w:tcW w:type="dxa" w:w="8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NFR-01</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For a dataset of up to 50,000 rows and a model file of up to 100 MB, evaluation results shall be returned within 10 seconds under a single-user test load.</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2950"/>
            <w:tcMar>
              <w:top w:type="dxa" w:w="80"/>
              <w:left w:type="dxa" w:w="100"/>
              <w:bottom w:type="dxa" w:w="80"/>
              <w:right w:type="dxa" w:w="100"/>
            </w:tcMar>
          </w:tcPr>
          <w:p>
            <w:pPr>
              <w:spacing w:after="60"/>
            </w:pPr>
            <w:r>
              <w:rPr>
                <w:rFonts w:ascii="Calibri" w:cs="Calibri" w:eastAsia="Calibri" w:hAnsi="Calibri"/>
                <w:sz w:val="19"/>
                <w:szCs w:val="19"/>
              </w:rPr>
              <w:t xml:space="preserve">Pass: at least 95% of evaluations within these limits complete within 10 seconds under the specified test load.</w:t>
            </w:r>
          </w:p>
          <w:p>
            <w:pPr>
              <w:spacing w:after="60"/>
            </w:pPr>
            <w:r>
              <w:rPr>
                <w:rFonts w:ascii="Calibri" w:cs="Calibri" w:eastAsia="Calibri" w:hAnsi="Calibri"/>
                <w:sz w:val="19"/>
                <w:szCs w:val="19"/>
              </w:rPr>
              <w:t xml:space="preserve">Fail: evaluation regularly takes longer than 10 seconds for an input within the stated limits.</w:t>
            </w:r>
          </w:p>
        </w:tc>
        <w:tc>
          <w:tcPr>
            <w:tcW w:type="dxa" w:w="234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If an Analyst is comparing several models, each run needs to come back quickly enough for the comparison to stay practical. The 50,000-row / 100 MB limit also defines what counts as an oversized model for NFR-03.</w:t>
            </w:r>
          </w:p>
        </w:tc>
      </w:tr>
      <w:tr>
        <w:tc>
          <w:tcPr>
            <w:tcW w:type="dxa" w:w="8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NFR-02</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Datasets, models and evaluation results belonging to one account shall not be visible or reachable by another Analyst.</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2950"/>
            <w:tcMar>
              <w:top w:type="dxa" w:w="80"/>
              <w:left w:type="dxa" w:w="100"/>
              <w:bottom w:type="dxa" w:w="80"/>
              <w:right w:type="dxa" w:w="100"/>
            </w:tcMar>
          </w:tcPr>
          <w:p>
            <w:pPr>
              <w:spacing w:after="60"/>
            </w:pPr>
            <w:r>
              <w:rPr>
                <w:rFonts w:ascii="Calibri" w:cs="Calibri" w:eastAsia="Calibri" w:hAnsi="Calibri"/>
                <w:sz w:val="19"/>
                <w:szCs w:val="19"/>
              </w:rPr>
              <w:t xml:space="preserve">Pass: an Analyst cannot open another Analyst's dataset, model or evaluation, even by guessing a URL or an identifier.</w:t>
            </w:r>
          </w:p>
          <w:p>
            <w:pPr>
              <w:spacing w:after="60"/>
            </w:pPr>
            <w:r>
              <w:rPr>
                <w:rFonts w:ascii="Calibri" w:cs="Calibri" w:eastAsia="Calibri" w:hAnsi="Calibri"/>
                <w:sz w:val="19"/>
                <w:szCs w:val="19"/>
              </w:rPr>
              <w:t xml:space="preserve">Fail: another Analyst's data can be reached through a direct link or an unprotected endpoint.</w:t>
            </w:r>
          </w:p>
        </w:tc>
        <w:tc>
          <w:tcPr>
            <w:tcW w:type="dxa" w:w="234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Analysts are likely to upload datasets they do not want shared, so this needs to be enforced at the account level and not merely hidden from the interface.</w:t>
            </w:r>
          </w:p>
        </w:tc>
      </w:tr>
      <w:tr>
        <w:tc>
          <w:tcPr>
            <w:tcW w:type="dxa" w:w="8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NFR-03</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Invalid files, incompatible inputs, and errors that occur during evaluation shall always be reported with a specific reason instead of failing silently.</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High</w:t>
            </w:r>
          </w:p>
        </w:tc>
        <w:tc>
          <w:tcPr>
            <w:tcW w:type="dxa" w:w="2950"/>
            <w:tcMar>
              <w:top w:type="dxa" w:w="80"/>
              <w:left w:type="dxa" w:w="100"/>
              <w:bottom w:type="dxa" w:w="80"/>
              <w:right w:type="dxa" w:w="100"/>
            </w:tcMar>
          </w:tcPr>
          <w:p>
            <w:pPr>
              <w:spacing w:after="60"/>
            </w:pPr>
            <w:r>
              <w:rPr>
                <w:rFonts w:ascii="Calibri" w:cs="Calibri" w:eastAsia="Calibri" w:hAnsi="Calibri"/>
                <w:sz w:val="19"/>
                <w:szCs w:val="19"/>
              </w:rPr>
              <w:t xml:space="preserve">Pass: every failure case tested (corrupted file, schema mismatch, model exceeding the 100 MB limit defined in NFR-01) returns a distinct, specific error message.</w:t>
            </w:r>
          </w:p>
          <w:p>
            <w:pPr>
              <w:spacing w:after="60"/>
            </w:pPr>
            <w:r>
              <w:rPr>
                <w:rFonts w:ascii="Calibri" w:cs="Calibri" w:eastAsia="Calibri" w:hAnsi="Calibri"/>
                <w:sz w:val="19"/>
                <w:szCs w:val="19"/>
              </w:rPr>
              <w:t xml:space="preserve">Fail: any of these cases returns a generic error, no error at all, or causes the session to crash.</w:t>
            </w:r>
          </w:p>
        </w:tc>
        <w:tc>
          <w:tcPr>
            <w:tcW w:type="dxa" w:w="234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An error message that does not explain what went wrong increases the time required to diagnose and correct evaluation failures.</w:t>
            </w:r>
          </w:p>
        </w:tc>
      </w:tr>
      <w:tr>
        <w:tc>
          <w:tcPr>
            <w:tcW w:type="dxa" w:w="8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NFR-04</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The interface shall be simple enough that a first-time user can go from uploading files to viewing evaluation results without needing outside instructions.</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Medium</w:t>
            </w:r>
          </w:p>
        </w:tc>
        <w:tc>
          <w:tcPr>
            <w:tcW w:type="dxa" w:w="2950"/>
            <w:tcMar>
              <w:top w:type="dxa" w:w="80"/>
              <w:left w:type="dxa" w:w="100"/>
              <w:bottom w:type="dxa" w:w="80"/>
              <w:right w:type="dxa" w:w="100"/>
            </w:tcMar>
          </w:tcPr>
          <w:p>
            <w:pPr>
              <w:spacing w:after="60"/>
            </w:pPr>
            <w:r>
              <w:rPr>
                <w:rFonts w:ascii="Calibri" w:cs="Calibri" w:eastAsia="Calibri" w:hAnsi="Calibri"/>
                <w:sz w:val="19"/>
                <w:szCs w:val="19"/>
              </w:rPr>
              <w:t xml:space="preserve">Pass: a first-time user completes that flow unaided during a usability check.</w:t>
            </w:r>
          </w:p>
          <w:p>
            <w:pPr>
              <w:spacing w:after="60"/>
            </w:pPr>
            <w:r>
              <w:rPr>
                <w:rFonts w:ascii="Calibri" w:cs="Calibri" w:eastAsia="Calibri" w:hAnsi="Calibri"/>
                <w:sz w:val="19"/>
                <w:szCs w:val="19"/>
              </w:rPr>
              <w:t xml:space="preserve">Fail: a first-time user gets stuck at some step and cannot tell what to do next.</w:t>
            </w:r>
          </w:p>
        </w:tc>
        <w:tc>
          <w:tcPr>
            <w:tcW w:type="dxa" w:w="234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The target user wants results quickly; the system should not require external documentation for routine use.</w:t>
            </w:r>
          </w:p>
        </w:tc>
      </w:tr>
      <w:tr>
        <w:tc>
          <w:tcPr>
            <w:tcW w:type="dxa" w:w="85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NFR-05</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The evaluation pipeline shall be structured so that a new metric, a new visualization, or a new task type can be added later without modifying unrelated parts of the system.</w:t>
            </w:r>
          </w:p>
        </w:tc>
        <w:tc>
          <w:tcPr>
            <w:tcW w:type="dxa" w:w="100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Low</w:t>
            </w:r>
          </w:p>
        </w:tc>
        <w:tc>
          <w:tcPr>
            <w:tcW w:type="dxa" w:w="2950"/>
            <w:tcMar>
              <w:top w:type="dxa" w:w="80"/>
              <w:left w:type="dxa" w:w="100"/>
              <w:bottom w:type="dxa" w:w="80"/>
              <w:right w:type="dxa" w:w="100"/>
            </w:tcMar>
          </w:tcPr>
          <w:p>
            <w:pPr>
              <w:spacing w:after="60"/>
            </w:pPr>
            <w:r>
              <w:rPr>
                <w:rFonts w:ascii="Calibri" w:cs="Calibri" w:eastAsia="Calibri" w:hAnsi="Calibri"/>
                <w:sz w:val="19"/>
                <w:szCs w:val="19"/>
              </w:rPr>
              <w:t xml:space="preserve">Pass: adding a new metric extends only the metric-calculation module, adding a new visualization extends only the visualization module, and adding a new task type extends the task-handling logic, in each case without changing upload, storage or authentication code.</w:t>
            </w:r>
          </w:p>
          <w:p>
            <w:pPr>
              <w:spacing w:after="60"/>
            </w:pPr>
            <w:r>
              <w:rPr>
                <w:rFonts w:ascii="Calibri" w:cs="Calibri" w:eastAsia="Calibri" w:hAnsi="Calibri"/>
                <w:sz w:val="19"/>
                <w:szCs w:val="19"/>
              </w:rPr>
              <w:t xml:space="preserve">Fail: adding a metric, visualization, or task type requires changes to upload, storage, or authentication code just to keep the system working.</w:t>
            </w:r>
          </w:p>
        </w:tc>
        <w:tc>
          <w:tcPr>
            <w:tcW w:type="dxa" w:w="2340"/>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This is a semester-long project, so later labs are likely to build further features on top of this same pipeline. This is a maintainability/extensibility concern rather than scalability in the conventional sense of handling more users or load.</w:t>
            </w:r>
          </w:p>
        </w:tc>
      </w:tr>
    </w:tbl>
    <w:sectPr>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2026-10-14T04:42:50.475Z</dcterms:created>
  <dcterms:modified xsi:type="dcterms:W3CDTF">2026-10-14T04:42:50.475Z</dcterms:modified>
</cp:coreProperties>
</file>

<file path=docProps/custom.xml><?xml version="1.0" encoding="utf-8"?>
<Properties xmlns="http://schemas.openxmlformats.org/officeDocument/2006/custom-properties" xmlns:vt="http://schemas.openxmlformats.org/officeDocument/2006/docPropsVTypes"/>
</file>