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FIFA World Cup 2026 outcomes with linear regression</w:t>
      </w:r>
    </w:p>
    <w:p>
      <w:r>
        <w:t>HIT140  |  Objective 2  |  Extended analytical report  |  5 October 2026</w:t>
      </w:r>
    </w:p>
    <w:p>
      <w:pPr>
        <w:pStyle w:val="Heading2"/>
      </w:pPr>
      <w:r>
        <w:t>Purpose and main findings</w:t>
      </w:r>
    </w:p>
    <w:p>
      <w:r>
        <w:t>This study evaluates two pre-match forecasting questions. Regression 2.1 predicts the goal difference between two teams from 104 match observations. Regression 2.2 predicts a team’s goals from 208 team–match observations. Each multiple linear regression uses exactly eight explanatory variables. Four predictor concepts are shared; four are specific to each task. All wrangling, statistical analysis and figures were produced in Python.</w:t>
      </w:r>
    </w:p>
    <w:p>
      <w:r>
        <w:t>The goal-difference model achieved a held-out mean absolute error of 1.146 goals and R² of 0.128. The team-goals model achieved a mean absolute error of 0.971 goals and R² of 0.024. Both improved on predictions based on their training-set means, but the team-goals model did not outperform an Elo-only regression. These results support modest forecasting value, with stronger evidence for predicting differences than precise team scoring totals. They do not support claims of highly accurate score prediction.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458"/>
        <w:gridCol w:w="3458"/>
      </w:tblGrid>
      <w:tr>
        <w:trPr>
          <w:cantSplit/>
          <w:tblHeader/>
        </w:trPr>
        <w:tc>
          <w:tcPr>
            <w:tcW w:type="dxa" w:w="2948"/>
            <w:vAlign w:val="center"/>
            <w:shd w:fill="E8EDF1"/>
            <w:tcMar>
              <w:top w:w="75" w:type="dxa"/>
              <w:bottom w:w="75" w:type="dxa"/>
              <w:left w:w="75" w:type="dxa"/>
              <w:right w:w="75" w:type="dxa"/>
            </w:tcMar>
          </w:tcPr>
          <w:p>
            <w:pPr>
              <w:spacing w:after="40" w:before="40"/>
            </w:pPr>
            <w:r>
              <w:rPr>
                <w:b/>
                <w:sz w:val="18"/>
              </w:rPr>
              <w:t>Design element</w:t>
            </w:r>
          </w:p>
        </w:tc>
        <w:tc>
          <w:tcPr>
            <w:tcW w:type="dxa" w:w="3458"/>
            <w:vAlign w:val="center"/>
            <w:shd w:fill="E8EDF1"/>
            <w:tcMar>
              <w:top w:w="75" w:type="dxa"/>
              <w:bottom w:w="75" w:type="dxa"/>
              <w:left w:w="75" w:type="dxa"/>
              <w:right w:w="75" w:type="dxa"/>
            </w:tcMar>
          </w:tcPr>
          <w:p>
            <w:pPr>
              <w:spacing w:after="40" w:before="40"/>
            </w:pPr>
            <w:r>
              <w:rPr>
                <w:b/>
                <w:sz w:val="18"/>
              </w:rPr>
              <w:t>Regression 2.1</w:t>
            </w:r>
          </w:p>
        </w:tc>
        <w:tc>
          <w:tcPr>
            <w:tcW w:type="dxa" w:w="3458"/>
            <w:vAlign w:val="center"/>
            <w:shd w:fill="E8EDF1"/>
            <w:tcMar>
              <w:top w:w="75" w:type="dxa"/>
              <w:bottom w:w="75" w:type="dxa"/>
              <w:left w:w="75" w:type="dxa"/>
              <w:right w:w="75" w:type="dxa"/>
            </w:tcMar>
          </w:tcPr>
          <w:p>
            <w:pPr>
              <w:spacing w:after="40" w:before="40"/>
            </w:pPr>
            <w:r>
              <w:rPr>
                <w:b/>
                <w:sz w:val="18"/>
              </w:rPr>
              <w:t>Regression 2.2</w:t>
            </w:r>
          </w:p>
        </w:tc>
      </w:tr>
      <w:tr>
        <w:trPr>
          <w:cantSplit/>
        </w:trPr>
        <w:tc>
          <w:tcPr>
            <w:tcW w:type="dxa" w:w="2948"/>
            <w:vAlign w:val="center"/>
            <w:shd w:fill="FFFFFF"/>
            <w:tcMar>
              <w:top w:w="75" w:type="dxa"/>
              <w:bottom w:w="75" w:type="dxa"/>
              <w:left w:w="75" w:type="dxa"/>
              <w:right w:w="75" w:type="dxa"/>
            </w:tcMar>
          </w:tcPr>
          <w:p>
            <w:pPr>
              <w:spacing w:after="40" w:before="40"/>
            </w:pPr>
            <w:r>
              <w:rPr>
                <w:b w:val="0"/>
                <w:sz w:val="18"/>
              </w:rPr>
              <w:t>Unit of observation</w:t>
            </w:r>
          </w:p>
        </w:tc>
        <w:tc>
          <w:tcPr>
            <w:tcW w:type="dxa" w:w="3458"/>
            <w:vAlign w:val="center"/>
            <w:shd w:fill="FFFFFF"/>
            <w:tcMar>
              <w:top w:w="75" w:type="dxa"/>
              <w:bottom w:w="75" w:type="dxa"/>
              <w:left w:w="75" w:type="dxa"/>
              <w:right w:w="75" w:type="dxa"/>
            </w:tcMar>
          </w:tcPr>
          <w:p>
            <w:pPr>
              <w:spacing w:after="40" w:before="40"/>
            </w:pPr>
            <w:r>
              <w:rPr>
                <w:b w:val="0"/>
                <w:sz w:val="18"/>
              </w:rPr>
              <w:t>One completed match</w:t>
            </w:r>
          </w:p>
        </w:tc>
        <w:tc>
          <w:tcPr>
            <w:tcW w:type="dxa" w:w="3458"/>
            <w:vAlign w:val="center"/>
            <w:shd w:fill="FFFFFF"/>
            <w:tcMar>
              <w:top w:w="75" w:type="dxa"/>
              <w:bottom w:w="75" w:type="dxa"/>
              <w:left w:w="75" w:type="dxa"/>
              <w:right w:w="75" w:type="dxa"/>
            </w:tcMar>
          </w:tcPr>
          <w:p>
            <w:pPr>
              <w:spacing w:after="40" w:before="40"/>
            </w:pPr>
            <w:r>
              <w:rPr>
                <w:b w:val="0"/>
                <w:sz w:val="18"/>
              </w:rPr>
              <w:t>One team in one completed match</w:t>
            </w:r>
          </w:p>
        </w:tc>
      </w:tr>
      <w:tr>
        <w:trPr>
          <w:cantSplit/>
        </w:trPr>
        <w:tc>
          <w:tcPr>
            <w:tcW w:type="dxa" w:w="2948"/>
            <w:vAlign w:val="center"/>
            <w:shd w:fill="F7F8F9"/>
            <w:tcMar>
              <w:top w:w="75" w:type="dxa"/>
              <w:bottom w:w="75" w:type="dxa"/>
              <w:left w:w="75" w:type="dxa"/>
              <w:right w:w="75" w:type="dxa"/>
            </w:tcMar>
          </w:tcPr>
          <w:p>
            <w:pPr>
              <w:spacing w:after="40" w:before="40"/>
            </w:pPr>
            <w:r>
              <w:rPr>
                <w:b w:val="0"/>
                <w:sz w:val="18"/>
              </w:rPr>
              <w:t>Dataset rows</w:t>
            </w:r>
          </w:p>
        </w:tc>
        <w:tc>
          <w:tcPr>
            <w:tcW w:type="dxa" w:w="3458"/>
            <w:vAlign w:val="center"/>
            <w:shd w:fill="F7F8F9"/>
            <w:tcMar>
              <w:top w:w="75" w:type="dxa"/>
              <w:bottom w:w="75" w:type="dxa"/>
              <w:left w:w="75" w:type="dxa"/>
              <w:right w:w="75" w:type="dxa"/>
            </w:tcMar>
          </w:tcPr>
          <w:p>
            <w:pPr>
              <w:spacing w:after="40" w:before="40"/>
            </w:pPr>
            <w:r>
              <w:rPr>
                <w:b w:val="0"/>
                <w:sz w:val="18"/>
              </w:rPr>
              <w:t>104</w:t>
            </w:r>
          </w:p>
        </w:tc>
        <w:tc>
          <w:tcPr>
            <w:tcW w:type="dxa" w:w="3458"/>
            <w:vAlign w:val="center"/>
            <w:shd w:fill="F7F8F9"/>
            <w:tcMar>
              <w:top w:w="75" w:type="dxa"/>
              <w:bottom w:w="75" w:type="dxa"/>
              <w:left w:w="75" w:type="dxa"/>
              <w:right w:w="75" w:type="dxa"/>
            </w:tcMar>
          </w:tcPr>
          <w:p>
            <w:pPr>
              <w:spacing w:after="40" w:before="40"/>
            </w:pPr>
            <w:r>
              <w:rPr>
                <w:b w:val="0"/>
                <w:sz w:val="18"/>
              </w:rPr>
              <w:t>208</w:t>
            </w:r>
          </w:p>
        </w:tc>
      </w:tr>
      <w:tr>
        <w:trPr>
          <w:cantSplit/>
        </w:trPr>
        <w:tc>
          <w:tcPr>
            <w:tcW w:type="dxa" w:w="2948"/>
            <w:vAlign w:val="center"/>
            <w:shd w:fill="FFFFFF"/>
            <w:tcMar>
              <w:top w:w="75" w:type="dxa"/>
              <w:bottom w:w="75" w:type="dxa"/>
              <w:left w:w="75" w:type="dxa"/>
              <w:right w:w="75" w:type="dxa"/>
            </w:tcMar>
          </w:tcPr>
          <w:p>
            <w:pPr>
              <w:spacing w:after="40" w:before="40"/>
            </w:pPr>
            <w:r>
              <w:rPr>
                <w:b w:val="0"/>
                <w:sz w:val="18"/>
              </w:rPr>
              <w:t>Explanatory variables</w:t>
            </w:r>
          </w:p>
        </w:tc>
        <w:tc>
          <w:tcPr>
            <w:tcW w:type="dxa" w:w="3458"/>
            <w:vAlign w:val="center"/>
            <w:shd w:fill="FFFFFF"/>
            <w:tcMar>
              <w:top w:w="75" w:type="dxa"/>
              <w:bottom w:w="75" w:type="dxa"/>
              <w:left w:w="75" w:type="dxa"/>
              <w:right w:w="75" w:type="dxa"/>
            </w:tcMar>
          </w:tcPr>
          <w:p>
            <w:pPr>
              <w:spacing w:after="40" w:before="40"/>
            </w:pPr>
            <w:r>
              <w:rPr>
                <w:b w:val="0"/>
                <w:sz w:val="18"/>
              </w:rPr>
              <w:t>8 numeric variables</w:t>
            </w:r>
          </w:p>
        </w:tc>
        <w:tc>
          <w:tcPr>
            <w:tcW w:type="dxa" w:w="3458"/>
            <w:vAlign w:val="center"/>
            <w:shd w:fill="FFFFFF"/>
            <w:tcMar>
              <w:top w:w="75" w:type="dxa"/>
              <w:bottom w:w="75" w:type="dxa"/>
              <w:left w:w="75" w:type="dxa"/>
              <w:right w:w="75" w:type="dxa"/>
            </w:tcMar>
          </w:tcPr>
          <w:p>
            <w:pPr>
              <w:spacing w:after="40" w:before="40"/>
            </w:pPr>
            <w:r>
              <w:rPr>
                <w:b w:val="0"/>
                <w:sz w:val="18"/>
              </w:rPr>
              <w:t>8 numeric variables</w:t>
            </w:r>
          </w:p>
        </w:tc>
      </w:tr>
      <w:tr>
        <w:trPr>
          <w:cantSplit/>
        </w:trPr>
        <w:tc>
          <w:tcPr>
            <w:tcW w:type="dxa" w:w="2948"/>
            <w:vAlign w:val="center"/>
            <w:shd w:fill="F7F8F9"/>
            <w:tcMar>
              <w:top w:w="75" w:type="dxa"/>
              <w:bottom w:w="75" w:type="dxa"/>
              <w:left w:w="75" w:type="dxa"/>
              <w:right w:w="75" w:type="dxa"/>
            </w:tcMar>
          </w:tcPr>
          <w:p>
            <w:pPr>
              <w:spacing w:after="40" w:before="40"/>
            </w:pPr>
            <w:r>
              <w:rPr>
                <w:b w:val="0"/>
                <w:sz w:val="18"/>
              </w:rPr>
              <w:t>Outcome</w:t>
            </w:r>
          </w:p>
        </w:tc>
        <w:tc>
          <w:tcPr>
            <w:tcW w:type="dxa" w:w="3458"/>
            <w:vAlign w:val="center"/>
            <w:shd w:fill="F7F8F9"/>
            <w:tcMar>
              <w:top w:w="75" w:type="dxa"/>
              <w:bottom w:w="75" w:type="dxa"/>
              <w:left w:w="75" w:type="dxa"/>
              <w:right w:w="75" w:type="dxa"/>
            </w:tcMar>
          </w:tcPr>
          <w:p>
            <w:pPr>
              <w:spacing w:after="40" w:before="40"/>
            </w:pPr>
            <w:r>
              <w:rPr>
                <w:b w:val="0"/>
                <w:sz w:val="18"/>
              </w:rPr>
              <w:t>Team A goals minus team B goals</w:t>
            </w:r>
          </w:p>
        </w:tc>
        <w:tc>
          <w:tcPr>
            <w:tcW w:type="dxa" w:w="3458"/>
            <w:vAlign w:val="center"/>
            <w:shd w:fill="F7F8F9"/>
            <w:tcMar>
              <w:top w:w="75" w:type="dxa"/>
              <w:bottom w:w="75" w:type="dxa"/>
              <w:left w:w="75" w:type="dxa"/>
              <w:right w:w="75" w:type="dxa"/>
            </w:tcMar>
          </w:tcPr>
          <w:p>
            <w:pPr>
              <w:spacing w:after="40" w:before="40"/>
            </w:pPr>
            <w:r>
              <w:rPr>
                <w:b w:val="0"/>
                <w:sz w:val="18"/>
              </w:rPr>
              <w:t>Goals scored by the team</w:t>
            </w:r>
          </w:p>
        </w:tc>
      </w:tr>
      <w:tr>
        <w:trPr>
          <w:cantSplit/>
        </w:trPr>
        <w:tc>
          <w:tcPr>
            <w:tcW w:type="dxa" w:w="2948"/>
            <w:vAlign w:val="center"/>
            <w:shd w:fill="FFFFFF"/>
            <w:tcMar>
              <w:top w:w="75" w:type="dxa"/>
              <w:bottom w:w="75" w:type="dxa"/>
              <w:left w:w="75" w:type="dxa"/>
              <w:right w:w="75" w:type="dxa"/>
            </w:tcMar>
          </w:tcPr>
          <w:p>
            <w:pPr>
              <w:spacing w:after="40" w:before="40"/>
            </w:pPr>
            <w:r>
              <w:rPr>
                <w:b w:val="0"/>
                <w:sz w:val="18"/>
              </w:rPr>
              <w:t>Training observations</w:t>
            </w:r>
          </w:p>
        </w:tc>
        <w:tc>
          <w:tcPr>
            <w:tcW w:type="dxa" w:w="3458"/>
            <w:vAlign w:val="center"/>
            <w:shd w:fill="FFFFFF"/>
            <w:tcMar>
              <w:top w:w="75" w:type="dxa"/>
              <w:bottom w:w="75" w:type="dxa"/>
              <w:left w:w="75" w:type="dxa"/>
              <w:right w:w="75" w:type="dxa"/>
            </w:tcMar>
          </w:tcPr>
          <w:p>
            <w:pPr>
              <w:spacing w:after="40" w:before="40"/>
            </w:pPr>
            <w:r>
              <w:rPr>
                <w:b w:val="0"/>
                <w:sz w:val="18"/>
              </w:rPr>
              <w:t>85 matches</w:t>
            </w:r>
          </w:p>
        </w:tc>
        <w:tc>
          <w:tcPr>
            <w:tcW w:type="dxa" w:w="3458"/>
            <w:vAlign w:val="center"/>
            <w:shd w:fill="FFFFFF"/>
            <w:tcMar>
              <w:top w:w="75" w:type="dxa"/>
              <w:bottom w:w="75" w:type="dxa"/>
              <w:left w:w="75" w:type="dxa"/>
              <w:right w:w="75" w:type="dxa"/>
            </w:tcMar>
          </w:tcPr>
          <w:p>
            <w:pPr>
              <w:spacing w:after="40" w:before="40"/>
            </w:pPr>
            <w:r>
              <w:rPr>
                <w:b w:val="0"/>
                <w:sz w:val="18"/>
              </w:rPr>
              <w:t>170 team rows from 85 matches</w:t>
            </w:r>
          </w:p>
        </w:tc>
      </w:tr>
      <w:tr>
        <w:trPr>
          <w:cantSplit/>
        </w:trPr>
        <w:tc>
          <w:tcPr>
            <w:tcW w:type="dxa" w:w="2948"/>
            <w:vAlign w:val="center"/>
            <w:shd w:fill="F7F8F9"/>
            <w:tcMar>
              <w:top w:w="75" w:type="dxa"/>
              <w:bottom w:w="75" w:type="dxa"/>
              <w:left w:w="75" w:type="dxa"/>
              <w:right w:w="75" w:type="dxa"/>
            </w:tcMar>
          </w:tcPr>
          <w:p>
            <w:pPr>
              <w:spacing w:after="40" w:before="40"/>
            </w:pPr>
            <w:r>
              <w:rPr>
                <w:b w:val="0"/>
                <w:sz w:val="18"/>
              </w:rPr>
              <w:t>Held-out observations</w:t>
            </w:r>
          </w:p>
        </w:tc>
        <w:tc>
          <w:tcPr>
            <w:tcW w:type="dxa" w:w="3458"/>
            <w:vAlign w:val="center"/>
            <w:shd w:fill="F7F8F9"/>
            <w:tcMar>
              <w:top w:w="75" w:type="dxa"/>
              <w:bottom w:w="75" w:type="dxa"/>
              <w:left w:w="75" w:type="dxa"/>
              <w:right w:w="75" w:type="dxa"/>
            </w:tcMar>
          </w:tcPr>
          <w:p>
            <w:pPr>
              <w:spacing w:after="40" w:before="40"/>
            </w:pPr>
            <w:r>
              <w:rPr>
                <w:b w:val="0"/>
                <w:sz w:val="18"/>
              </w:rPr>
              <w:t>19 matches</w:t>
            </w:r>
          </w:p>
        </w:tc>
        <w:tc>
          <w:tcPr>
            <w:tcW w:type="dxa" w:w="3458"/>
            <w:vAlign w:val="center"/>
            <w:shd w:fill="F7F8F9"/>
            <w:tcMar>
              <w:top w:w="75" w:type="dxa"/>
              <w:bottom w:w="75" w:type="dxa"/>
              <w:left w:w="75" w:type="dxa"/>
              <w:right w:w="75" w:type="dxa"/>
            </w:tcMar>
          </w:tcPr>
          <w:p>
            <w:pPr>
              <w:spacing w:after="40" w:before="40"/>
            </w:pPr>
            <w:r>
              <w:rPr>
                <w:b w:val="0"/>
                <w:sz w:val="18"/>
              </w:rPr>
              <w:t>38 team rows from the same 19 matches</w:t>
            </w:r>
          </w:p>
        </w:tc>
      </w:tr>
    </w:tbl>
    <w:p>
      <w:pPr>
        <w:spacing w:after="0"/>
      </w:pPr>
    </w:p>
    <w:p>
      <w:pPr>
        <w:pStyle w:val="Heading2"/>
      </w:pPr>
      <w:r>
        <w:t>Outcome definitions</w:t>
      </w:r>
    </w:p>
    <w:p>
      <w:r>
        <w:t>Team A is the first-listed team in the FIFA match report; team B is the second-listed team. This ordering is fixed before inspecting the result. A positive goal difference means A outscored B, a negative difference means B outscored A, and zero means the score was level. The label A does not imply that the match was played at A’s home venue.</w:t>
      </w:r>
    </w:p>
    <w:p>
      <w:r>
        <w:t>Goals include extra time when it was played, but exclude penalty-shootout kicks. This follows the full-match score in the FIFA reports and the historical dataset definition [1, 2]. A match decided on penalties therefore has zero goal difference. The target is the eventual match score, not the 90-minute score. Actual extra-time duration is never used as a predictor because it is unknown before kickoff.</w:t>
      </w:r>
    </w:p>
    <w:p>
      <w:pPr>
        <w:pStyle w:val="Heading2"/>
      </w:pPr>
      <w:r>
        <w:t>Research questions</w:t>
      </w:r>
    </w:p>
    <w:p>
      <w:r>
        <w:t>Regression 2.1 asks: how accurately can prior relative strength, results, recovery, venue advantage and historical experience predict the final goal difference? Regression 2.2 asks: how accurately can prior attacking output, the opponent’s defensive record and pre-match context predict the number of goals scored by one team?</w:t>
      </w:r>
    </w:p>
    <w:p>
      <w:pPr>
        <w:pStyle w:val="Heading1"/>
        <w:pageBreakBefore/>
      </w:pPr>
      <w:r>
        <w:t>Data acquisition and preparation</w:t>
      </w:r>
    </w:p>
    <w:p>
      <w:r>
        <w:t>The outcome dataset is a census of all 104 matches, covering 48 teams, rather than a random sample of the tournament. FIFA’s 104 full-time match reports were downloaded and archived. Their match IDs, local match dates, teams, venue countries, final scores, extra-time flags and source URLs were extracted with Python. The reports show 308 goals, nine matches with extra time and four shootouts [1]. Historical features were constructed from Mart Jürisoo’s international-results collection [2].</w:t>
      </w:r>
    </w:p>
    <w:p>
      <w:r>
        <w:t>After harmonising team names and allowing for reversed team order, every FIFA outcome and match date agreed with the corresponding historical record. A separate fixtures webpage was considered during acquisition, but its date and match-number conventions differed; it was not used to determine the final model data. FIFA reports remain the authoritative source for tournament outcomes and dates.</w:t>
      </w:r>
    </w:p>
    <w:p>
      <w:pPr>
        <w:pStyle w:val="Heading2"/>
      </w:pPr>
      <w:r>
        <w:t>Cleaning decisions</w:t>
      </w:r>
    </w:p>
    <w:p>
      <w:r>
        <w:t>Aliases were mapped explicitly, including USA to United States, Korea Republic to South Korea, Czechia to Czech Republic, IR Iran to Iran, Cabo Verde to Cape Verde, and Côte d’Ivoire to Ivory Coast. Joining used both team identities and verified match context rather than assuming resource numbers equal match numbers. The mapping is preserved in build_data.py.</w:t>
      </w:r>
    </w:p>
    <w:p>
      <w:r>
        <w:t>Only historical records dated before 11 June 2026 were retained as the initial history. Two records for Tahiti versus New Caledonia on 17 February 1974 had the same identifying fields but different scores. Both were excluded as unresolved duplicates and retained in an exclusions file. The resulting initial history contains 49,414 matches. Current-tournament history was then appended from FIFA reports, preventing duplicate inclusion of 2026 World Cup matches. No tournament row was removed or imputed.</w:t>
      </w:r>
    </w:p>
    <w:p>
      <w:pPr>
        <w:pStyle w:val="Heading2"/>
      </w:pPr>
      <w:r>
        <w:t>Preventing information leakage</w:t>
      </w:r>
    </w:p>
    <w:p>
      <w:r>
        <w:t>For each match date, features were calculated before adding any result from that date to the histories. Recent form uses the latest ten completed internationals strictly before the match’s date. Every participating team had ten available prior matches, so no cold-start imputation was required. Same-day results are excluded conservatively because the history records dates rather than reliable kickoff and completion timestamps.</w:t>
      </w:r>
    </w:p>
    <w:p>
      <w:r>
        <w:t>The audit file stores each side’s ten source matches, their dates, scores and competition indicators. This makes it possible to check that neither the current outcome nor a future match entered an explanatory variable. All later tournament totals, current-match shots, possession, cards, scorers and actual extra-time duration are excluded from the design matrices. Data were retrieved after the event, so this is a retrospective backtest using historically available events, not evidence of forecasts recorded live before kickoff.</w:t>
      </w:r>
    </w:p>
    <w:p>
      <w:pPr>
        <w:pStyle w:val="Heading2"/>
      </w:pPr>
      <w:r>
        <w:t>Files and integrity</w:t>
      </w:r>
    </w:p>
    <w:p>
      <w:r>
        <w:t>regression_2_1.csv contains one ID, eight explanatory columns and one outcome. regression_2_2.csv has the same column structure at team–match level. Dates, team names, source URLs and split labels are stored separately as metadata; they are not additional predictors. Source files have SHA-256 hashes, and validation checks enforce row counts, unique IDs, eight-column feature lists, finite values, correct targets and strict chronological history.</w:t>
      </w:r>
    </w:p>
    <w:p>
      <w:pPr>
        <w:pStyle w:val="Heading1"/>
        <w:pageBreakBefore/>
      </w:pPr>
      <w:r>
        <w:t>Regression 2 1 explanatory variables</w:t>
      </w:r>
    </w:p>
    <w:p>
      <w:r>
        <w:t>The model represents relative advantage by subtracting team B’s pre-match value from team A’s value. These eight predictors were fixed on football grounds before examining held-out model performance. They cover strength, recent outcomes, rest, location and experience. No transformations were selected by searching for a favourable test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4819"/>
        <w:gridCol w:w="4422"/>
      </w:tblGrid>
      <w:tr>
        <w:trPr>
          <w:cantSplit/>
          <w:tblHeader/>
        </w:trPr>
        <w:tc>
          <w:tcPr>
            <w:tcW w:type="dxa" w:w="624"/>
            <w:vAlign w:val="center"/>
            <w:shd w:fill="E8EDF1"/>
            <w:tcMar>
              <w:top w:w="75" w:type="dxa"/>
              <w:bottom w:w="75" w:type="dxa"/>
              <w:left w:w="75" w:type="dxa"/>
              <w:right w:w="75" w:type="dxa"/>
            </w:tcMar>
          </w:tcPr>
          <w:p>
            <w:pPr>
              <w:spacing w:after="40" w:before="40"/>
            </w:pPr>
            <w:r>
              <w:rPr>
                <w:b/>
                <w:sz w:val="18"/>
              </w:rPr>
              <w:t>Term</w:t>
            </w:r>
          </w:p>
        </w:tc>
        <w:tc>
          <w:tcPr>
            <w:tcW w:type="dxa" w:w="4819"/>
            <w:vAlign w:val="center"/>
            <w:shd w:fill="E8EDF1"/>
            <w:tcMar>
              <w:top w:w="75" w:type="dxa"/>
              <w:bottom w:w="75" w:type="dxa"/>
              <w:left w:w="75" w:type="dxa"/>
              <w:right w:w="75" w:type="dxa"/>
            </w:tcMar>
          </w:tcPr>
          <w:p>
            <w:pPr>
              <w:spacing w:after="40" w:before="40"/>
            </w:pPr>
            <w:r>
              <w:rPr>
                <w:b/>
                <w:sz w:val="18"/>
              </w:rPr>
              <w:t>Predictor and exact construction</w:t>
            </w:r>
          </w:p>
        </w:tc>
        <w:tc>
          <w:tcPr>
            <w:tcW w:type="dxa" w:w="4422"/>
            <w:vAlign w:val="center"/>
            <w:shd w:fill="E8EDF1"/>
            <w:tcMar>
              <w:top w:w="75" w:type="dxa"/>
              <w:bottom w:w="75" w:type="dxa"/>
              <w:left w:w="75" w:type="dxa"/>
              <w:right w:w="75" w:type="dxa"/>
            </w:tcMar>
          </w:tcPr>
          <w:p>
            <w:pPr>
              <w:spacing w:after="40" w:before="40"/>
            </w:pPr>
            <w:r>
              <w:rPr>
                <w:b/>
                <w:sz w:val="18"/>
              </w:rPr>
              <w:t>Reason for inclusion</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x1</w:t>
            </w:r>
          </w:p>
        </w:tc>
        <w:tc>
          <w:tcPr>
            <w:tcW w:type="dxa" w:w="4819"/>
            <w:vAlign w:val="center"/>
            <w:shd w:fill="FFFFFF"/>
            <w:tcMar>
              <w:top w:w="75" w:type="dxa"/>
              <w:bottom w:w="75" w:type="dxa"/>
              <w:left w:w="75" w:type="dxa"/>
              <w:right w:w="75" w:type="dxa"/>
            </w:tcMar>
          </w:tcPr>
          <w:p>
            <w:pPr>
              <w:spacing w:after="40" w:before="40"/>
            </w:pPr>
            <w:r>
              <w:rPr>
                <w:b w:val="0"/>
                <w:sz w:val="18"/>
              </w:rPr>
              <w:t>Elo difference: (rating A − rating B) / 100.</w:t>
            </w:r>
          </w:p>
        </w:tc>
        <w:tc>
          <w:tcPr>
            <w:tcW w:type="dxa" w:w="4422"/>
            <w:vAlign w:val="center"/>
            <w:shd w:fill="FFFFFF"/>
            <w:tcMar>
              <w:top w:w="75" w:type="dxa"/>
              <w:bottom w:w="75" w:type="dxa"/>
              <w:left w:w="75" w:type="dxa"/>
              <w:right w:w="75" w:type="dxa"/>
            </w:tcMar>
          </w:tcPr>
          <w:p>
            <w:pPr>
              <w:spacing w:after="40" w:before="40"/>
            </w:pPr>
            <w:r>
              <w:rPr>
                <w:b w:val="0"/>
                <w:sz w:val="18"/>
              </w:rPr>
              <w:t>Summarises past results while accounting for opponent strength. Expected positive association.</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x2</w:t>
            </w:r>
          </w:p>
        </w:tc>
        <w:tc>
          <w:tcPr>
            <w:tcW w:type="dxa" w:w="4819"/>
            <w:vAlign w:val="center"/>
            <w:shd w:fill="F7F8F9"/>
            <w:tcMar>
              <w:top w:w="75" w:type="dxa"/>
              <w:bottom w:w="75" w:type="dxa"/>
              <w:left w:w="75" w:type="dxa"/>
              <w:right w:w="75" w:type="dxa"/>
            </w:tcMar>
          </w:tcPr>
          <w:p>
            <w:pPr>
              <w:spacing w:after="40" w:before="40"/>
            </w:pPr>
            <w:r>
              <w:rPr>
                <w:b w:val="0"/>
                <w:sz w:val="18"/>
              </w:rPr>
              <w:t>Win-rate difference over each side’s last 10 prior internationals.</w:t>
            </w:r>
          </w:p>
        </w:tc>
        <w:tc>
          <w:tcPr>
            <w:tcW w:type="dxa" w:w="4422"/>
            <w:vAlign w:val="center"/>
            <w:shd w:fill="F7F8F9"/>
            <w:tcMar>
              <w:top w:w="75" w:type="dxa"/>
              <w:bottom w:w="75" w:type="dxa"/>
              <w:left w:w="75" w:type="dxa"/>
              <w:right w:w="75" w:type="dxa"/>
            </w:tcMar>
          </w:tcPr>
          <w:p>
            <w:pPr>
              <w:spacing w:after="40" w:before="40"/>
            </w:pPr>
            <w:r>
              <w:rPr>
                <w:b w:val="0"/>
                <w:sz w:val="18"/>
              </w:rPr>
              <w:t>Captures recent success that may differ from long-run strength. Expected positive association.</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x3</w:t>
            </w:r>
          </w:p>
        </w:tc>
        <w:tc>
          <w:tcPr>
            <w:tcW w:type="dxa" w:w="4819"/>
            <w:vAlign w:val="center"/>
            <w:shd w:fill="FFFFFF"/>
            <w:tcMar>
              <w:top w:w="75" w:type="dxa"/>
              <w:bottom w:w="75" w:type="dxa"/>
              <w:left w:w="75" w:type="dxa"/>
              <w:right w:w="75" w:type="dxa"/>
            </w:tcMar>
          </w:tcPr>
          <w:p>
            <w:pPr>
              <w:spacing w:after="40" w:before="40"/>
            </w:pPr>
            <w:r>
              <w:rPr>
                <w:b w:val="0"/>
                <w:sz w:val="18"/>
              </w:rPr>
              <w:t>Draw-rate difference over the last 10 prior internationals.</w:t>
            </w:r>
          </w:p>
        </w:tc>
        <w:tc>
          <w:tcPr>
            <w:tcW w:type="dxa" w:w="4422"/>
            <w:vAlign w:val="center"/>
            <w:shd w:fill="FFFFFF"/>
            <w:tcMar>
              <w:top w:w="75" w:type="dxa"/>
              <w:bottom w:w="75" w:type="dxa"/>
              <w:left w:w="75" w:type="dxa"/>
              <w:right w:w="75" w:type="dxa"/>
            </w:tcMar>
          </w:tcPr>
          <w:p>
            <w:pPr>
              <w:spacing w:after="40" w:before="40"/>
            </w:pPr>
            <w:r>
              <w:rPr>
                <w:b w:val="0"/>
                <w:sz w:val="18"/>
              </w:rPr>
              <w:t>Measures recent tendency toward level scores. Direction is not predetermined.</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x4</w:t>
            </w:r>
          </w:p>
        </w:tc>
        <w:tc>
          <w:tcPr>
            <w:tcW w:type="dxa" w:w="4819"/>
            <w:vAlign w:val="center"/>
            <w:shd w:fill="F7F8F9"/>
            <w:tcMar>
              <w:top w:w="75" w:type="dxa"/>
              <w:bottom w:w="75" w:type="dxa"/>
              <w:left w:w="75" w:type="dxa"/>
              <w:right w:w="75" w:type="dxa"/>
            </w:tcMar>
          </w:tcPr>
          <w:p>
            <w:pPr>
              <w:spacing w:after="40" w:before="40"/>
            </w:pPr>
            <w:r>
              <w:rPr>
                <w:b w:val="0"/>
                <w:sz w:val="18"/>
              </w:rPr>
              <w:t>Rest difference: min(days since A last played, 14) − min(days since B last played, 14).</w:t>
            </w:r>
          </w:p>
        </w:tc>
        <w:tc>
          <w:tcPr>
            <w:tcW w:type="dxa" w:w="4422"/>
            <w:vAlign w:val="center"/>
            <w:shd w:fill="F7F8F9"/>
            <w:tcMar>
              <w:top w:w="75" w:type="dxa"/>
              <w:bottom w:w="75" w:type="dxa"/>
              <w:left w:w="75" w:type="dxa"/>
              <w:right w:w="75" w:type="dxa"/>
            </w:tcMar>
          </w:tcPr>
          <w:p>
            <w:pPr>
              <w:spacing w:after="40" w:before="40"/>
            </w:pPr>
            <w:r>
              <w:rPr>
                <w:b w:val="0"/>
                <w:sz w:val="18"/>
              </w:rPr>
              <w:t>Represents relative recovery. Capping prevents long breaks dominating the scale.</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x5</w:t>
            </w:r>
          </w:p>
        </w:tc>
        <w:tc>
          <w:tcPr>
            <w:tcW w:type="dxa" w:w="4819"/>
            <w:vAlign w:val="center"/>
            <w:shd w:fill="FFFFFF"/>
            <w:tcMar>
              <w:top w:w="75" w:type="dxa"/>
              <w:bottom w:w="75" w:type="dxa"/>
              <w:left w:w="75" w:type="dxa"/>
              <w:right w:w="75" w:type="dxa"/>
            </w:tcMar>
          </w:tcPr>
          <w:p>
            <w:pPr>
              <w:spacing w:after="40" w:before="40"/>
            </w:pPr>
            <w:r>
              <w:rPr>
                <w:b w:val="0"/>
                <w:sz w:val="18"/>
              </w:rPr>
              <w:t>Home advantage: +1 when playing in A’s country; −1 in B’s country; 0 otherwise.</w:t>
            </w:r>
          </w:p>
        </w:tc>
        <w:tc>
          <w:tcPr>
            <w:tcW w:type="dxa" w:w="4422"/>
            <w:vAlign w:val="center"/>
            <w:shd w:fill="FFFFFF"/>
            <w:tcMar>
              <w:top w:w="75" w:type="dxa"/>
              <w:bottom w:w="75" w:type="dxa"/>
              <w:left w:w="75" w:type="dxa"/>
              <w:right w:w="75" w:type="dxa"/>
            </w:tcMar>
          </w:tcPr>
          <w:p>
            <w:pPr>
              <w:spacing w:after="40" w:before="40"/>
            </w:pPr>
            <w:r>
              <w:rPr>
                <w:b w:val="0"/>
                <w:sz w:val="18"/>
              </w:rPr>
              <w:t>Represents venue familiarity and local support. Expected positive association.</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x6</w:t>
            </w:r>
          </w:p>
        </w:tc>
        <w:tc>
          <w:tcPr>
            <w:tcW w:type="dxa" w:w="4819"/>
            <w:vAlign w:val="center"/>
            <w:shd w:fill="F7F8F9"/>
            <w:tcMar>
              <w:top w:w="75" w:type="dxa"/>
              <w:bottom w:w="75" w:type="dxa"/>
              <w:left w:w="75" w:type="dxa"/>
              <w:right w:w="75" w:type="dxa"/>
            </w:tcMar>
          </w:tcPr>
          <w:p>
            <w:pPr>
              <w:spacing w:after="40" w:before="40"/>
            </w:pPr>
            <w:r>
              <w:rPr>
                <w:b w:val="0"/>
                <w:sz w:val="18"/>
              </w:rPr>
              <w:t>World Cup experience difference: log(1 + A’s prior finals matches) − log(1 + B’s).</w:t>
            </w:r>
          </w:p>
        </w:tc>
        <w:tc>
          <w:tcPr>
            <w:tcW w:type="dxa" w:w="4422"/>
            <w:vAlign w:val="center"/>
            <w:shd w:fill="F7F8F9"/>
            <w:tcMar>
              <w:top w:w="75" w:type="dxa"/>
              <w:bottom w:w="75" w:type="dxa"/>
              <w:left w:w="75" w:type="dxa"/>
              <w:right w:w="75" w:type="dxa"/>
            </w:tcMar>
          </w:tcPr>
          <w:p>
            <w:pPr>
              <w:spacing w:after="40" w:before="40"/>
            </w:pPr>
            <w:r>
              <w:rPr>
                <w:b w:val="0"/>
                <w:sz w:val="18"/>
              </w:rPr>
              <w:t>Measures historical tournament exposure with diminishing increments. Expected positive association.</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x7</w:t>
            </w:r>
          </w:p>
        </w:tc>
        <w:tc>
          <w:tcPr>
            <w:tcW w:type="dxa" w:w="4819"/>
            <w:vAlign w:val="center"/>
            <w:shd w:fill="FFFFFF"/>
            <w:tcMar>
              <w:top w:w="75" w:type="dxa"/>
              <w:bottom w:w="75" w:type="dxa"/>
              <w:left w:w="75" w:type="dxa"/>
              <w:right w:w="75" w:type="dxa"/>
            </w:tcMar>
          </w:tcPr>
          <w:p>
            <w:pPr>
              <w:spacing w:after="40" w:before="40"/>
            </w:pPr>
            <w:r>
              <w:rPr>
                <w:b w:val="0"/>
                <w:sz w:val="18"/>
              </w:rPr>
              <w:t>Head-to-head balance: sum of A’s win/draw/loss signs (+1/0/−1) in up to 5 prior meetings, divided by meetings + 2.</w:t>
            </w:r>
          </w:p>
        </w:tc>
        <w:tc>
          <w:tcPr>
            <w:tcW w:type="dxa" w:w="4422"/>
            <w:vAlign w:val="center"/>
            <w:shd w:fill="FFFFFF"/>
            <w:tcMar>
              <w:top w:w="75" w:type="dxa"/>
              <w:bottom w:w="75" w:type="dxa"/>
              <w:left w:w="75" w:type="dxa"/>
              <w:right w:w="75" w:type="dxa"/>
            </w:tcMar>
          </w:tcPr>
          <w:p>
            <w:pPr>
              <w:spacing w:after="40" w:before="40"/>
            </w:pPr>
            <w:r>
              <w:rPr>
                <w:b w:val="0"/>
                <w:sz w:val="18"/>
              </w:rPr>
              <w:t>Captures matchup history. Shrinkage toward zero limits tiny-history effects; no meetings gives zero.</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x8</w:t>
            </w:r>
          </w:p>
        </w:tc>
        <w:tc>
          <w:tcPr>
            <w:tcW w:type="dxa" w:w="4819"/>
            <w:vAlign w:val="center"/>
            <w:shd w:fill="F7F8F9"/>
            <w:tcMar>
              <w:top w:w="75" w:type="dxa"/>
              <w:bottom w:w="75" w:type="dxa"/>
              <w:left w:w="75" w:type="dxa"/>
              <w:right w:w="75" w:type="dxa"/>
            </w:tcMar>
          </w:tcPr>
          <w:p>
            <w:pPr>
              <w:spacing w:after="40" w:before="40"/>
            </w:pPr>
            <w:r>
              <w:rPr>
                <w:b w:val="0"/>
                <w:sz w:val="18"/>
              </w:rPr>
              <w:t>Competitive-share difference: A’s fraction of non-Friendly games in its last 10 minus B’s fraction.</w:t>
            </w:r>
          </w:p>
        </w:tc>
        <w:tc>
          <w:tcPr>
            <w:tcW w:type="dxa" w:w="4422"/>
            <w:vAlign w:val="center"/>
            <w:shd w:fill="F7F8F9"/>
            <w:tcMar>
              <w:top w:w="75" w:type="dxa"/>
              <w:bottom w:w="75" w:type="dxa"/>
              <w:left w:w="75" w:type="dxa"/>
              <w:right w:w="75" w:type="dxa"/>
            </w:tcMar>
          </w:tcPr>
          <w:p>
            <w:pPr>
              <w:spacing w:after="40" w:before="40"/>
            </w:pPr>
            <w:r>
              <w:rPr>
                <w:b w:val="0"/>
                <w:sz w:val="18"/>
              </w:rPr>
              <w:t>Distinguishes preparation in competitive settings from friendly-heavy schedules. Direction is uncertain.</w:t>
            </w:r>
          </w:p>
        </w:tc>
      </w:tr>
    </w:tbl>
    <w:p>
      <w:pPr>
        <w:spacing w:after="0"/>
      </w:pPr>
    </w:p>
    <w:p>
      <w:pPr>
        <w:pStyle w:val="Heading2"/>
      </w:pPr>
      <w:r>
        <w:t>Elo construction</w:t>
      </w:r>
    </w:p>
    <w:p>
      <w:r>
        <w:t>Elo is calculated by this analysis, not presented as an official FIFA ranking. Each team starts at 1,500 before its first archived match. Expected result = 1 / (1 + 10 raised to [(opponent rating − team rating − home adjustment) / 400]). The update is 20 × (actual result − expected result), with actual result 1, 0.5 or 0. The opponent receives the opposite adjustment. A home side receives a 100-point expectation adjustment; neutral matches receive zero. Same-day adjustments are applied after features are recorded. Goal margins and shootout winners do not affect these updates.</w:t>
      </w:r>
    </w:p>
    <w:p>
      <w:r>
        <w:t>The full historical sequence begins in 1872. Historical successor-team naming follows the source. World Cup experience counts only finals matches, including completed earlier matches in 2026; qualifiers do not count. Competitive share follows the source’s tournament label and does not measure the difficulty of individual opponents.</w:t>
      </w:r>
    </w:p>
    <w:p>
      <w:pPr>
        <w:pStyle w:val="Heading1"/>
        <w:pageBreakBefore/>
      </w:pPr>
      <w:r>
        <w:t>Regression 2 1 estimation and interpretation</w:t>
      </w:r>
    </w:p>
    <w:p>
      <w:r>
        <w:t>Ordinary least squares estimates an intercept and eight slopes by minimising the sum of squared residuals. The development model uses the 85 matches played through 2 July 2026. Its design matrix has full rank, so all nine parameters are identifiable. The fitted equation predicts D, the goal difference, using x1 to x8 in the order defined on the preceding page [3].</w:t>
      </w:r>
    </w:p>
    <w:p>
      <m:oMath>
        <m:r>
          <m:t>D = 0.3040 + 0.0228x1 + 2.5443x2 + 2.4287x3 + 0.0832x4</m:t>
        </m:r>
      </m:oMath>
    </w:p>
    <w:p>
      <m:oMath>
        <m:r>
          <m:t>                 + 0.5340x5 + 0.4463x6 + 1.4453x7 − 0.6391x8</m:t>
        </m:r>
      </m:oMath>
    </w:p>
    <w:p>
      <w:r>
        <w:t>Training R² is 0.506 and adjusted R² is 0.454. The reduction after adjustment reflects the cost of fitting eight predictors to a modest sample. These are in-sample measures and are not estimates of future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984"/>
        <w:gridCol w:w="4535"/>
        <w:gridCol w:w="1984"/>
      </w:tblGrid>
      <w:tr>
        <w:trPr>
          <w:cantSplit/>
          <w:tblHeader/>
        </w:trPr>
        <w:tc>
          <w:tcPr>
            <w:tcW w:type="dxa" w:w="1361"/>
            <w:vAlign w:val="center"/>
            <w:shd w:fill="E8EDF1"/>
            <w:tcMar>
              <w:top w:w="75" w:type="dxa"/>
              <w:bottom w:w="75" w:type="dxa"/>
              <w:left w:w="75" w:type="dxa"/>
              <w:right w:w="75" w:type="dxa"/>
            </w:tcMar>
          </w:tcPr>
          <w:p>
            <w:pPr>
              <w:spacing w:after="40" w:before="40"/>
            </w:pPr>
            <w:r>
              <w:rPr>
                <w:b/>
                <w:sz w:val="18"/>
              </w:rPr>
              <w:t>Term</w:t>
            </w:r>
          </w:p>
        </w:tc>
        <w:tc>
          <w:tcPr>
            <w:tcW w:type="dxa" w:w="1984"/>
            <w:vAlign w:val="center"/>
            <w:shd w:fill="E8EDF1"/>
            <w:tcMar>
              <w:top w:w="75" w:type="dxa"/>
              <w:bottom w:w="75" w:type="dxa"/>
              <w:left w:w="75" w:type="dxa"/>
              <w:right w:w="75" w:type="dxa"/>
            </w:tcMar>
          </w:tcPr>
          <w:p>
            <w:pPr>
              <w:spacing w:after="40" w:before="40"/>
            </w:pPr>
            <w:r>
              <w:rPr>
                <w:b/>
                <w:sz w:val="18"/>
              </w:rPr>
              <w:t>Coefficient</w:t>
            </w:r>
          </w:p>
        </w:tc>
        <w:tc>
          <w:tcPr>
            <w:tcW w:type="dxa" w:w="4535"/>
            <w:vAlign w:val="center"/>
            <w:shd w:fill="E8EDF1"/>
            <w:tcMar>
              <w:top w:w="75" w:type="dxa"/>
              <w:bottom w:w="75" w:type="dxa"/>
              <w:left w:w="75" w:type="dxa"/>
              <w:right w:w="75" w:type="dxa"/>
            </w:tcMar>
          </w:tcPr>
          <w:p>
            <w:pPr>
              <w:spacing w:after="40" w:before="40"/>
            </w:pPr>
            <w:r>
              <w:rPr>
                <w:b/>
                <w:sz w:val="18"/>
              </w:rPr>
              <w:t>95% confidence interval</w:t>
            </w:r>
          </w:p>
        </w:tc>
        <w:tc>
          <w:tcPr>
            <w:tcW w:type="dxa" w:w="1984"/>
            <w:vAlign w:val="center"/>
            <w:shd w:fill="E8EDF1"/>
            <w:tcMar>
              <w:top w:w="75" w:type="dxa"/>
              <w:bottom w:w="75" w:type="dxa"/>
              <w:left w:w="75" w:type="dxa"/>
              <w:right w:w="75" w:type="dxa"/>
            </w:tcMar>
          </w:tcPr>
          <w:p>
            <w:pPr>
              <w:spacing w:after="40" w:before="40"/>
            </w:pPr>
            <w:r>
              <w:rPr>
                <w:b/>
                <w:sz w:val="18"/>
              </w:rPr>
              <w:t>p value</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Intercept</w:t>
            </w:r>
          </w:p>
        </w:tc>
        <w:tc>
          <w:tcPr>
            <w:tcW w:type="dxa" w:w="1984"/>
            <w:vAlign w:val="center"/>
            <w:shd w:fill="FFFFFF"/>
            <w:tcMar>
              <w:top w:w="75" w:type="dxa"/>
              <w:bottom w:w="75" w:type="dxa"/>
              <w:left w:w="75" w:type="dxa"/>
              <w:right w:w="75" w:type="dxa"/>
            </w:tcMar>
          </w:tcPr>
          <w:p>
            <w:pPr>
              <w:spacing w:after="40" w:before="40"/>
            </w:pPr>
            <w:r>
              <w:rPr>
                <w:b w:val="0"/>
                <w:sz w:val="18"/>
              </w:rPr>
              <w:t>0.3040</w:t>
            </w:r>
          </w:p>
        </w:tc>
        <w:tc>
          <w:tcPr>
            <w:tcW w:type="dxa" w:w="4535"/>
            <w:vAlign w:val="center"/>
            <w:shd w:fill="FFFFFF"/>
            <w:tcMar>
              <w:top w:w="75" w:type="dxa"/>
              <w:bottom w:w="75" w:type="dxa"/>
              <w:left w:w="75" w:type="dxa"/>
              <w:right w:w="75" w:type="dxa"/>
            </w:tcMar>
          </w:tcPr>
          <w:p>
            <w:pPr>
              <w:spacing w:after="40" w:before="40"/>
            </w:pPr>
            <w:r>
              <w:rPr>
                <w:b w:val="0"/>
                <w:sz w:val="18"/>
              </w:rPr>
              <w:t>-0.039 to 0.647</w:t>
            </w:r>
          </w:p>
        </w:tc>
        <w:tc>
          <w:tcPr>
            <w:tcW w:type="dxa" w:w="1984"/>
            <w:vAlign w:val="center"/>
            <w:shd w:fill="FFFFFF"/>
            <w:tcMar>
              <w:top w:w="75" w:type="dxa"/>
              <w:bottom w:w="75" w:type="dxa"/>
              <w:left w:w="75" w:type="dxa"/>
              <w:right w:w="75" w:type="dxa"/>
            </w:tcMar>
          </w:tcPr>
          <w:p>
            <w:pPr>
              <w:spacing w:after="40" w:before="40"/>
            </w:pPr>
            <w:r>
              <w:rPr>
                <w:b w:val="0"/>
                <w:sz w:val="18"/>
              </w:rPr>
              <w:t>0.082</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x1</w:t>
            </w:r>
          </w:p>
        </w:tc>
        <w:tc>
          <w:tcPr>
            <w:tcW w:type="dxa" w:w="1984"/>
            <w:vAlign w:val="center"/>
            <w:shd w:fill="F7F8F9"/>
            <w:tcMar>
              <w:top w:w="75" w:type="dxa"/>
              <w:bottom w:w="75" w:type="dxa"/>
              <w:left w:w="75" w:type="dxa"/>
              <w:right w:w="75" w:type="dxa"/>
            </w:tcMar>
          </w:tcPr>
          <w:p>
            <w:pPr>
              <w:spacing w:after="40" w:before="40"/>
            </w:pPr>
            <w:r>
              <w:rPr>
                <w:b w:val="0"/>
                <w:sz w:val="18"/>
              </w:rPr>
              <w:t>0.0228</w:t>
            </w:r>
          </w:p>
        </w:tc>
        <w:tc>
          <w:tcPr>
            <w:tcW w:type="dxa" w:w="4535"/>
            <w:vAlign w:val="center"/>
            <w:shd w:fill="F7F8F9"/>
            <w:tcMar>
              <w:top w:w="75" w:type="dxa"/>
              <w:bottom w:w="75" w:type="dxa"/>
              <w:left w:w="75" w:type="dxa"/>
              <w:right w:w="75" w:type="dxa"/>
            </w:tcMar>
          </w:tcPr>
          <w:p>
            <w:pPr>
              <w:spacing w:after="40" w:before="40"/>
            </w:pPr>
            <w:r>
              <w:rPr>
                <w:b w:val="0"/>
                <w:sz w:val="18"/>
              </w:rPr>
              <w:t>-0.541 to 0.586</w:t>
            </w:r>
          </w:p>
        </w:tc>
        <w:tc>
          <w:tcPr>
            <w:tcW w:type="dxa" w:w="1984"/>
            <w:vAlign w:val="center"/>
            <w:shd w:fill="F7F8F9"/>
            <w:tcMar>
              <w:top w:w="75" w:type="dxa"/>
              <w:bottom w:w="75" w:type="dxa"/>
              <w:left w:w="75" w:type="dxa"/>
              <w:right w:w="75" w:type="dxa"/>
            </w:tcMar>
          </w:tcPr>
          <w:p>
            <w:pPr>
              <w:spacing w:after="40" w:before="40"/>
            </w:pPr>
            <w:r>
              <w:rPr>
                <w:b w:val="0"/>
                <w:sz w:val="18"/>
              </w:rPr>
              <w:t>0.936</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x2</w:t>
            </w:r>
          </w:p>
        </w:tc>
        <w:tc>
          <w:tcPr>
            <w:tcW w:type="dxa" w:w="1984"/>
            <w:vAlign w:val="center"/>
            <w:shd w:fill="FFFFFF"/>
            <w:tcMar>
              <w:top w:w="75" w:type="dxa"/>
              <w:bottom w:w="75" w:type="dxa"/>
              <w:left w:w="75" w:type="dxa"/>
              <w:right w:w="75" w:type="dxa"/>
            </w:tcMar>
          </w:tcPr>
          <w:p>
            <w:pPr>
              <w:spacing w:after="40" w:before="40"/>
            </w:pPr>
            <w:r>
              <w:rPr>
                <w:b w:val="0"/>
                <w:sz w:val="18"/>
              </w:rPr>
              <w:t>2.5443</w:t>
            </w:r>
          </w:p>
        </w:tc>
        <w:tc>
          <w:tcPr>
            <w:tcW w:type="dxa" w:w="4535"/>
            <w:vAlign w:val="center"/>
            <w:shd w:fill="FFFFFF"/>
            <w:tcMar>
              <w:top w:w="75" w:type="dxa"/>
              <w:bottom w:w="75" w:type="dxa"/>
              <w:left w:w="75" w:type="dxa"/>
              <w:right w:w="75" w:type="dxa"/>
            </w:tcMar>
          </w:tcPr>
          <w:p>
            <w:pPr>
              <w:spacing w:after="40" w:before="40"/>
            </w:pPr>
            <w:r>
              <w:rPr>
                <w:b w:val="0"/>
                <w:sz w:val="18"/>
              </w:rPr>
              <w:t>-0.785 to 5.874</w:t>
            </w:r>
          </w:p>
        </w:tc>
        <w:tc>
          <w:tcPr>
            <w:tcW w:type="dxa" w:w="1984"/>
            <w:vAlign w:val="center"/>
            <w:shd w:fill="FFFFFF"/>
            <w:tcMar>
              <w:top w:w="75" w:type="dxa"/>
              <w:bottom w:w="75" w:type="dxa"/>
              <w:left w:w="75" w:type="dxa"/>
              <w:right w:w="75" w:type="dxa"/>
            </w:tcMar>
          </w:tcPr>
          <w:p>
            <w:pPr>
              <w:spacing w:after="40" w:before="40"/>
            </w:pPr>
            <w:r>
              <w:rPr>
                <w:b w:val="0"/>
                <w:sz w:val="18"/>
              </w:rPr>
              <w:t>0.132</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x3</w:t>
            </w:r>
          </w:p>
        </w:tc>
        <w:tc>
          <w:tcPr>
            <w:tcW w:type="dxa" w:w="1984"/>
            <w:vAlign w:val="center"/>
            <w:shd w:fill="F7F8F9"/>
            <w:tcMar>
              <w:top w:w="75" w:type="dxa"/>
              <w:bottom w:w="75" w:type="dxa"/>
              <w:left w:w="75" w:type="dxa"/>
              <w:right w:w="75" w:type="dxa"/>
            </w:tcMar>
          </w:tcPr>
          <w:p>
            <w:pPr>
              <w:spacing w:after="40" w:before="40"/>
            </w:pPr>
            <w:r>
              <w:rPr>
                <w:b w:val="0"/>
                <w:sz w:val="18"/>
              </w:rPr>
              <w:t>2.4287</w:t>
            </w:r>
          </w:p>
        </w:tc>
        <w:tc>
          <w:tcPr>
            <w:tcW w:type="dxa" w:w="4535"/>
            <w:vAlign w:val="center"/>
            <w:shd w:fill="F7F8F9"/>
            <w:tcMar>
              <w:top w:w="75" w:type="dxa"/>
              <w:bottom w:w="75" w:type="dxa"/>
              <w:left w:w="75" w:type="dxa"/>
              <w:right w:w="75" w:type="dxa"/>
            </w:tcMar>
          </w:tcPr>
          <w:p>
            <w:pPr>
              <w:spacing w:after="40" w:before="40"/>
            </w:pPr>
            <w:r>
              <w:rPr>
                <w:b w:val="0"/>
                <w:sz w:val="18"/>
              </w:rPr>
              <w:t>0.268 to 4.590</w:t>
            </w:r>
          </w:p>
        </w:tc>
        <w:tc>
          <w:tcPr>
            <w:tcW w:type="dxa" w:w="1984"/>
            <w:vAlign w:val="center"/>
            <w:shd w:fill="F7F8F9"/>
            <w:tcMar>
              <w:top w:w="75" w:type="dxa"/>
              <w:bottom w:w="75" w:type="dxa"/>
              <w:left w:w="75" w:type="dxa"/>
              <w:right w:w="75" w:type="dxa"/>
            </w:tcMar>
          </w:tcPr>
          <w:p>
            <w:pPr>
              <w:spacing w:after="40" w:before="40"/>
            </w:pPr>
            <w:r>
              <w:rPr>
                <w:b w:val="0"/>
                <w:sz w:val="18"/>
              </w:rPr>
              <w:t>0.028</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x4</w:t>
            </w:r>
          </w:p>
        </w:tc>
        <w:tc>
          <w:tcPr>
            <w:tcW w:type="dxa" w:w="1984"/>
            <w:vAlign w:val="center"/>
            <w:shd w:fill="FFFFFF"/>
            <w:tcMar>
              <w:top w:w="75" w:type="dxa"/>
              <w:bottom w:w="75" w:type="dxa"/>
              <w:left w:w="75" w:type="dxa"/>
              <w:right w:w="75" w:type="dxa"/>
            </w:tcMar>
          </w:tcPr>
          <w:p>
            <w:pPr>
              <w:spacing w:after="40" w:before="40"/>
            </w:pPr>
            <w:r>
              <w:rPr>
                <w:b w:val="0"/>
                <w:sz w:val="18"/>
              </w:rPr>
              <w:t>0.0832</w:t>
            </w:r>
          </w:p>
        </w:tc>
        <w:tc>
          <w:tcPr>
            <w:tcW w:type="dxa" w:w="4535"/>
            <w:vAlign w:val="center"/>
            <w:shd w:fill="FFFFFF"/>
            <w:tcMar>
              <w:top w:w="75" w:type="dxa"/>
              <w:bottom w:w="75" w:type="dxa"/>
              <w:left w:w="75" w:type="dxa"/>
              <w:right w:w="75" w:type="dxa"/>
            </w:tcMar>
          </w:tcPr>
          <w:p>
            <w:pPr>
              <w:spacing w:after="40" w:before="40"/>
            </w:pPr>
            <w:r>
              <w:rPr>
                <w:b w:val="0"/>
                <w:sz w:val="18"/>
              </w:rPr>
              <w:t>-0.156 to 0.322</w:t>
            </w:r>
          </w:p>
        </w:tc>
        <w:tc>
          <w:tcPr>
            <w:tcW w:type="dxa" w:w="1984"/>
            <w:vAlign w:val="center"/>
            <w:shd w:fill="FFFFFF"/>
            <w:tcMar>
              <w:top w:w="75" w:type="dxa"/>
              <w:bottom w:w="75" w:type="dxa"/>
              <w:left w:w="75" w:type="dxa"/>
              <w:right w:w="75" w:type="dxa"/>
            </w:tcMar>
          </w:tcPr>
          <w:p>
            <w:pPr>
              <w:spacing w:after="40" w:before="40"/>
            </w:pPr>
            <w:r>
              <w:rPr>
                <w:b w:val="0"/>
                <w:sz w:val="18"/>
              </w:rPr>
              <w:t>0.490</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x5</w:t>
            </w:r>
          </w:p>
        </w:tc>
        <w:tc>
          <w:tcPr>
            <w:tcW w:type="dxa" w:w="1984"/>
            <w:vAlign w:val="center"/>
            <w:shd w:fill="F7F8F9"/>
            <w:tcMar>
              <w:top w:w="75" w:type="dxa"/>
              <w:bottom w:w="75" w:type="dxa"/>
              <w:left w:w="75" w:type="dxa"/>
              <w:right w:w="75" w:type="dxa"/>
            </w:tcMar>
          </w:tcPr>
          <w:p>
            <w:pPr>
              <w:spacing w:after="40" w:before="40"/>
            </w:pPr>
            <w:r>
              <w:rPr>
                <w:b w:val="0"/>
                <w:sz w:val="18"/>
              </w:rPr>
              <w:t>0.5340</w:t>
            </w:r>
          </w:p>
        </w:tc>
        <w:tc>
          <w:tcPr>
            <w:tcW w:type="dxa" w:w="4535"/>
            <w:vAlign w:val="center"/>
            <w:shd w:fill="F7F8F9"/>
            <w:tcMar>
              <w:top w:w="75" w:type="dxa"/>
              <w:bottom w:w="75" w:type="dxa"/>
              <w:left w:w="75" w:type="dxa"/>
              <w:right w:w="75" w:type="dxa"/>
            </w:tcMar>
          </w:tcPr>
          <w:p>
            <w:pPr>
              <w:spacing w:after="40" w:before="40"/>
            </w:pPr>
            <w:r>
              <w:rPr>
                <w:b w:val="0"/>
                <w:sz w:val="18"/>
              </w:rPr>
              <w:t>-0.757 to 1.825</w:t>
            </w:r>
          </w:p>
        </w:tc>
        <w:tc>
          <w:tcPr>
            <w:tcW w:type="dxa" w:w="1984"/>
            <w:vAlign w:val="center"/>
            <w:shd w:fill="F7F8F9"/>
            <w:tcMar>
              <w:top w:w="75" w:type="dxa"/>
              <w:bottom w:w="75" w:type="dxa"/>
              <w:left w:w="75" w:type="dxa"/>
              <w:right w:w="75" w:type="dxa"/>
            </w:tcMar>
          </w:tcPr>
          <w:p>
            <w:pPr>
              <w:spacing w:after="40" w:before="40"/>
            </w:pPr>
            <w:r>
              <w:rPr>
                <w:b w:val="0"/>
                <w:sz w:val="18"/>
              </w:rPr>
              <w:t>0.413</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x6</w:t>
            </w:r>
          </w:p>
        </w:tc>
        <w:tc>
          <w:tcPr>
            <w:tcW w:type="dxa" w:w="1984"/>
            <w:vAlign w:val="center"/>
            <w:shd w:fill="FFFFFF"/>
            <w:tcMar>
              <w:top w:w="75" w:type="dxa"/>
              <w:bottom w:w="75" w:type="dxa"/>
              <w:left w:w="75" w:type="dxa"/>
              <w:right w:w="75" w:type="dxa"/>
            </w:tcMar>
          </w:tcPr>
          <w:p>
            <w:pPr>
              <w:spacing w:after="40" w:before="40"/>
            </w:pPr>
            <w:r>
              <w:rPr>
                <w:b w:val="0"/>
                <w:sz w:val="18"/>
              </w:rPr>
              <w:t>0.4463</w:t>
            </w:r>
          </w:p>
        </w:tc>
        <w:tc>
          <w:tcPr>
            <w:tcW w:type="dxa" w:w="4535"/>
            <w:vAlign w:val="center"/>
            <w:shd w:fill="FFFFFF"/>
            <w:tcMar>
              <w:top w:w="75" w:type="dxa"/>
              <w:bottom w:w="75" w:type="dxa"/>
              <w:left w:w="75" w:type="dxa"/>
              <w:right w:w="75" w:type="dxa"/>
            </w:tcMar>
          </w:tcPr>
          <w:p>
            <w:pPr>
              <w:spacing w:after="40" w:before="40"/>
            </w:pPr>
            <w:r>
              <w:rPr>
                <w:b w:val="0"/>
                <w:sz w:val="18"/>
              </w:rPr>
              <w:t>0.083 to 0.810</w:t>
            </w:r>
          </w:p>
        </w:tc>
        <w:tc>
          <w:tcPr>
            <w:tcW w:type="dxa" w:w="1984"/>
            <w:vAlign w:val="center"/>
            <w:shd w:fill="FFFFFF"/>
            <w:tcMar>
              <w:top w:w="75" w:type="dxa"/>
              <w:bottom w:w="75" w:type="dxa"/>
              <w:left w:w="75" w:type="dxa"/>
              <w:right w:w="75" w:type="dxa"/>
            </w:tcMar>
          </w:tcPr>
          <w:p>
            <w:pPr>
              <w:spacing w:after="40" w:before="40"/>
            </w:pPr>
            <w:r>
              <w:rPr>
                <w:b w:val="0"/>
                <w:sz w:val="18"/>
              </w:rPr>
              <w:t>0.017</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x7</w:t>
            </w:r>
          </w:p>
        </w:tc>
        <w:tc>
          <w:tcPr>
            <w:tcW w:type="dxa" w:w="1984"/>
            <w:vAlign w:val="center"/>
            <w:shd w:fill="F7F8F9"/>
            <w:tcMar>
              <w:top w:w="75" w:type="dxa"/>
              <w:bottom w:w="75" w:type="dxa"/>
              <w:left w:w="75" w:type="dxa"/>
              <w:right w:w="75" w:type="dxa"/>
            </w:tcMar>
          </w:tcPr>
          <w:p>
            <w:pPr>
              <w:spacing w:after="40" w:before="40"/>
            </w:pPr>
            <w:r>
              <w:rPr>
                <w:b w:val="0"/>
                <w:sz w:val="18"/>
              </w:rPr>
              <w:t>1.4453</w:t>
            </w:r>
          </w:p>
        </w:tc>
        <w:tc>
          <w:tcPr>
            <w:tcW w:type="dxa" w:w="4535"/>
            <w:vAlign w:val="center"/>
            <w:shd w:fill="F7F8F9"/>
            <w:tcMar>
              <w:top w:w="75" w:type="dxa"/>
              <w:bottom w:w="75" w:type="dxa"/>
              <w:left w:w="75" w:type="dxa"/>
              <w:right w:w="75" w:type="dxa"/>
            </w:tcMar>
          </w:tcPr>
          <w:p>
            <w:pPr>
              <w:spacing w:after="40" w:before="40"/>
            </w:pPr>
            <w:r>
              <w:rPr>
                <w:b w:val="0"/>
                <w:sz w:val="18"/>
              </w:rPr>
              <w:t>0.025 to 2.865</w:t>
            </w:r>
          </w:p>
        </w:tc>
        <w:tc>
          <w:tcPr>
            <w:tcW w:type="dxa" w:w="1984"/>
            <w:vAlign w:val="center"/>
            <w:shd w:fill="F7F8F9"/>
            <w:tcMar>
              <w:top w:w="75" w:type="dxa"/>
              <w:bottom w:w="75" w:type="dxa"/>
              <w:left w:w="75" w:type="dxa"/>
              <w:right w:w="75" w:type="dxa"/>
            </w:tcMar>
          </w:tcPr>
          <w:p>
            <w:pPr>
              <w:spacing w:after="40" w:before="40"/>
            </w:pPr>
            <w:r>
              <w:rPr>
                <w:b w:val="0"/>
                <w:sz w:val="18"/>
              </w:rPr>
              <w:t>0.046</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x8</w:t>
            </w:r>
          </w:p>
        </w:tc>
        <w:tc>
          <w:tcPr>
            <w:tcW w:type="dxa" w:w="1984"/>
            <w:vAlign w:val="center"/>
            <w:shd w:fill="FFFFFF"/>
            <w:tcMar>
              <w:top w:w="75" w:type="dxa"/>
              <w:bottom w:w="75" w:type="dxa"/>
              <w:left w:w="75" w:type="dxa"/>
              <w:right w:w="75" w:type="dxa"/>
            </w:tcMar>
          </w:tcPr>
          <w:p>
            <w:pPr>
              <w:spacing w:after="40" w:before="40"/>
            </w:pPr>
            <w:r>
              <w:rPr>
                <w:b w:val="0"/>
                <w:sz w:val="18"/>
              </w:rPr>
              <w:t>-0.6391</w:t>
            </w:r>
          </w:p>
        </w:tc>
        <w:tc>
          <w:tcPr>
            <w:tcW w:type="dxa" w:w="4535"/>
            <w:vAlign w:val="center"/>
            <w:shd w:fill="FFFFFF"/>
            <w:tcMar>
              <w:top w:w="75" w:type="dxa"/>
              <w:bottom w:w="75" w:type="dxa"/>
              <w:left w:w="75" w:type="dxa"/>
              <w:right w:w="75" w:type="dxa"/>
            </w:tcMar>
          </w:tcPr>
          <w:p>
            <w:pPr>
              <w:spacing w:after="40" w:before="40"/>
            </w:pPr>
            <w:r>
              <w:rPr>
                <w:b w:val="0"/>
                <w:sz w:val="18"/>
              </w:rPr>
              <w:t>-2.764 to 1.485</w:t>
            </w:r>
          </w:p>
        </w:tc>
        <w:tc>
          <w:tcPr>
            <w:tcW w:type="dxa" w:w="1984"/>
            <w:vAlign w:val="center"/>
            <w:shd w:fill="FFFFFF"/>
            <w:tcMar>
              <w:top w:w="75" w:type="dxa"/>
              <w:bottom w:w="75" w:type="dxa"/>
              <w:left w:w="75" w:type="dxa"/>
              <w:right w:w="75" w:type="dxa"/>
            </w:tcMar>
          </w:tcPr>
          <w:p>
            <w:pPr>
              <w:spacing w:after="40" w:before="40"/>
            </w:pPr>
            <w:r>
              <w:rPr>
                <w:b w:val="0"/>
                <w:sz w:val="18"/>
              </w:rPr>
              <w:t>0.551</w:t>
            </w:r>
          </w:p>
        </w:tc>
      </w:tr>
    </w:tbl>
    <w:p>
      <w:pPr>
        <w:spacing w:after="0"/>
      </w:pPr>
    </w:p>
    <w:p>
      <w:r>
        <w:t>The table reports HC3 heteroscedasticity-robust standard errors and 95% confidence intervals. For each slope, the exploratory null hypothesis is that the coefficient is zero after accounting for the other seven predictors. The robust joint F statistic is 7.689, with p &lt; 0.001. This supports some joint association in the training data, not a claim of strong out-of-sample forecasting.</w:t>
      </w:r>
    </w:p>
    <w:p>
      <w:pPr>
        <w:pStyle w:val="Heading2"/>
      </w:pPr>
      <w:r>
        <w:t>Practical meaning of the estimates</w:t>
      </w:r>
    </w:p>
    <w:p>
      <w:r>
        <w:t>A 0.10 increase in A’s win-rate advantage corresponds to 0.254 additional predicted goals of difference, holding other inputs fixed. Its interval includes zero, so the data do not establish a precise independent win-rate effect. An additional capped rest day corresponds to 0.083 goals of difference, also with substantial uncertainty.</w:t>
      </w:r>
    </w:p>
    <w:p>
      <w:r>
        <w:t>The World Cup experience coefficient is 0.446 per unit of log-count difference (95% CI 0.083 to 0.810). Multiplying the ratio (1 + A’s experience)/(1 + B’s experience) by two corresponds to approximately 0.309 additional predicted goals, since 0.446 × log(2) = 0.309. This is an association that may reflect unmeasured team quality, not evidence that historical appearances cause present goals.</w:t>
      </w:r>
    </w:p>
    <w:p>
      <w:r>
        <w:t>Elo’s conditional slope is small and imprecise despite the useful Elo-only baseline. Elo and other strength indicators overlap, increasing coefficient uncertainty. The positive draw-rate slope should not be interpreted as a strategy to seek draws; it is a conditional pattern in a small observational dataset. Individual p values are exploratory and unadjusted for multiple comparisons.</w:t>
      </w:r>
    </w:p>
    <w:p>
      <w:pPr>
        <w:pStyle w:val="Heading1"/>
        <w:pageBreakBefore/>
      </w:pPr>
      <w:r>
        <w:t>Regression 2 1 predictive evaluation</w:t>
      </w:r>
    </w:p>
    <w:p>
      <w:r>
        <w:t>The final 19 matches, played from 3 to 19 July, form the chronological holdout. No match from those dates was used to estimate the reported regression coefficients. Earlier held-out results are allowed to update subsequent pre-match features once they have occurred; coefficients remain frozen. This evaluates sequential pre-match forecasting, not a single forecast of the whole bracket on 2 July.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43"/>
        <w:gridCol w:w="1474"/>
        <w:gridCol w:w="1474"/>
        <w:gridCol w:w="1474"/>
      </w:tblGrid>
      <w:tr>
        <w:trPr>
          <w:cantSplit/>
          <w:tblHeader/>
        </w:trPr>
        <w:tc>
          <w:tcPr>
            <w:tcW w:type="dxa" w:w="5443"/>
            <w:vAlign w:val="center"/>
            <w:shd w:fill="E8EDF1"/>
            <w:tcMar>
              <w:top w:w="75" w:type="dxa"/>
              <w:bottom w:w="75" w:type="dxa"/>
              <w:left w:w="75" w:type="dxa"/>
              <w:right w:w="75" w:type="dxa"/>
            </w:tcMar>
          </w:tcPr>
          <w:p>
            <w:pPr>
              <w:spacing w:after="40" w:before="40"/>
            </w:pPr>
            <w:r>
              <w:rPr>
                <w:b/>
                <w:sz w:val="18"/>
              </w:rPr>
              <w:t>Holdout method</w:t>
            </w:r>
          </w:p>
        </w:tc>
        <w:tc>
          <w:tcPr>
            <w:tcW w:type="dxa" w:w="1474"/>
            <w:vAlign w:val="center"/>
            <w:shd w:fill="E8EDF1"/>
            <w:tcMar>
              <w:top w:w="75" w:type="dxa"/>
              <w:bottom w:w="75" w:type="dxa"/>
              <w:left w:w="75" w:type="dxa"/>
              <w:right w:w="75" w:type="dxa"/>
            </w:tcMar>
          </w:tcPr>
          <w:p>
            <w:pPr>
              <w:spacing w:after="40" w:before="40"/>
            </w:pPr>
            <w:r>
              <w:rPr>
                <w:b/>
                <w:sz w:val="18"/>
              </w:rPr>
              <w:t>MAE</w:t>
            </w:r>
          </w:p>
        </w:tc>
        <w:tc>
          <w:tcPr>
            <w:tcW w:type="dxa" w:w="1474"/>
            <w:vAlign w:val="center"/>
            <w:shd w:fill="E8EDF1"/>
            <w:tcMar>
              <w:top w:w="75" w:type="dxa"/>
              <w:bottom w:w="75" w:type="dxa"/>
              <w:left w:w="75" w:type="dxa"/>
              <w:right w:w="75" w:type="dxa"/>
            </w:tcMar>
          </w:tcPr>
          <w:p>
            <w:pPr>
              <w:spacing w:after="40" w:before="40"/>
            </w:pPr>
            <w:r>
              <w:rPr>
                <w:b/>
                <w:sz w:val="18"/>
              </w:rPr>
              <w:t>RMSE</w:t>
            </w:r>
          </w:p>
        </w:tc>
        <w:tc>
          <w:tcPr>
            <w:tcW w:type="dxa" w:w="1474"/>
            <w:vAlign w:val="center"/>
            <w:shd w:fill="E8EDF1"/>
            <w:tcMar>
              <w:top w:w="75" w:type="dxa"/>
              <w:bottom w:w="75" w:type="dxa"/>
              <w:left w:w="75" w:type="dxa"/>
              <w:right w:w="75" w:type="dxa"/>
            </w:tcMar>
          </w:tcPr>
          <w:p>
            <w:pPr>
              <w:spacing w:after="40" w:before="40"/>
            </w:pPr>
            <w:r>
              <w:rPr>
                <w:b/>
                <w:sz w:val="18"/>
              </w:rPr>
              <w:t>R²</w:t>
            </w:r>
          </w:p>
        </w:tc>
      </w:tr>
      <w:tr>
        <w:trPr>
          <w:cantSplit/>
        </w:trPr>
        <w:tc>
          <w:tcPr>
            <w:tcW w:type="dxa" w:w="5443"/>
            <w:vAlign w:val="center"/>
            <w:shd w:fill="FFFFFF"/>
            <w:tcMar>
              <w:top w:w="75" w:type="dxa"/>
              <w:bottom w:w="75" w:type="dxa"/>
              <w:left w:w="75" w:type="dxa"/>
              <w:right w:w="75" w:type="dxa"/>
            </w:tcMar>
          </w:tcPr>
          <w:p>
            <w:pPr>
              <w:spacing w:after="40" w:before="40"/>
            </w:pPr>
            <w:r>
              <w:rPr>
                <w:b w:val="0"/>
                <w:sz w:val="18"/>
              </w:rPr>
              <w:t>OLS eight predictors</w:t>
            </w:r>
          </w:p>
        </w:tc>
        <w:tc>
          <w:tcPr>
            <w:tcW w:type="dxa" w:w="1474"/>
            <w:vAlign w:val="center"/>
            <w:shd w:fill="FFFFFF"/>
            <w:tcMar>
              <w:top w:w="75" w:type="dxa"/>
              <w:bottom w:w="75" w:type="dxa"/>
              <w:left w:w="75" w:type="dxa"/>
              <w:right w:w="75" w:type="dxa"/>
            </w:tcMar>
          </w:tcPr>
          <w:p>
            <w:pPr>
              <w:spacing w:after="40" w:before="40"/>
            </w:pPr>
            <w:r>
              <w:rPr>
                <w:b w:val="0"/>
                <w:sz w:val="18"/>
              </w:rPr>
              <w:t>1.146</w:t>
            </w:r>
          </w:p>
        </w:tc>
        <w:tc>
          <w:tcPr>
            <w:tcW w:type="dxa" w:w="1474"/>
            <w:vAlign w:val="center"/>
            <w:shd w:fill="FFFFFF"/>
            <w:tcMar>
              <w:top w:w="75" w:type="dxa"/>
              <w:bottom w:w="75" w:type="dxa"/>
              <w:left w:w="75" w:type="dxa"/>
              <w:right w:w="75" w:type="dxa"/>
            </w:tcMar>
          </w:tcPr>
          <w:p>
            <w:pPr>
              <w:spacing w:after="40" w:before="40"/>
            </w:pPr>
            <w:r>
              <w:rPr>
                <w:b w:val="0"/>
                <w:sz w:val="18"/>
              </w:rPr>
              <w:t>1.395</w:t>
            </w:r>
          </w:p>
        </w:tc>
        <w:tc>
          <w:tcPr>
            <w:tcW w:type="dxa" w:w="1474"/>
            <w:vAlign w:val="center"/>
            <w:shd w:fill="FFFFFF"/>
            <w:tcMar>
              <w:top w:w="75" w:type="dxa"/>
              <w:bottom w:w="75" w:type="dxa"/>
              <w:left w:w="75" w:type="dxa"/>
              <w:right w:w="75" w:type="dxa"/>
            </w:tcMar>
          </w:tcPr>
          <w:p>
            <w:pPr>
              <w:spacing w:after="40" w:before="40"/>
            </w:pPr>
            <w:r>
              <w:rPr>
                <w:b w:val="0"/>
                <w:sz w:val="18"/>
              </w:rPr>
              <w:t>0.128</w:t>
            </w:r>
          </w:p>
        </w:tc>
      </w:tr>
      <w:tr>
        <w:trPr>
          <w:cantSplit/>
        </w:trPr>
        <w:tc>
          <w:tcPr>
            <w:tcW w:type="dxa" w:w="5443"/>
            <w:vAlign w:val="center"/>
            <w:shd w:fill="F7F8F9"/>
            <w:tcMar>
              <w:top w:w="75" w:type="dxa"/>
              <w:bottom w:w="75" w:type="dxa"/>
              <w:left w:w="75" w:type="dxa"/>
              <w:right w:w="75" w:type="dxa"/>
            </w:tcMar>
          </w:tcPr>
          <w:p>
            <w:pPr>
              <w:spacing w:after="40" w:before="40"/>
            </w:pPr>
            <w:r>
              <w:rPr>
                <w:b w:val="0"/>
                <w:sz w:val="18"/>
              </w:rPr>
              <w:t>Training mean baseline</w:t>
            </w:r>
          </w:p>
        </w:tc>
        <w:tc>
          <w:tcPr>
            <w:tcW w:type="dxa" w:w="1474"/>
            <w:vAlign w:val="center"/>
            <w:shd w:fill="F7F8F9"/>
            <w:tcMar>
              <w:top w:w="75" w:type="dxa"/>
              <w:bottom w:w="75" w:type="dxa"/>
              <w:left w:w="75" w:type="dxa"/>
              <w:right w:w="75" w:type="dxa"/>
            </w:tcMar>
          </w:tcPr>
          <w:p>
            <w:pPr>
              <w:spacing w:after="40" w:before="40"/>
            </w:pPr>
            <w:r>
              <w:rPr>
                <w:b w:val="0"/>
                <w:sz w:val="18"/>
              </w:rPr>
              <w:t>1.492</w:t>
            </w:r>
          </w:p>
        </w:tc>
        <w:tc>
          <w:tcPr>
            <w:tcW w:type="dxa" w:w="1474"/>
            <w:vAlign w:val="center"/>
            <w:shd w:fill="F7F8F9"/>
            <w:tcMar>
              <w:top w:w="75" w:type="dxa"/>
              <w:bottom w:w="75" w:type="dxa"/>
              <w:left w:w="75" w:type="dxa"/>
              <w:right w:w="75" w:type="dxa"/>
            </w:tcMar>
          </w:tcPr>
          <w:p>
            <w:pPr>
              <w:spacing w:after="40" w:before="40"/>
            </w:pPr>
            <w:r>
              <w:rPr>
                <w:b w:val="0"/>
                <w:sz w:val="18"/>
              </w:rPr>
              <w:t>1.820</w:t>
            </w:r>
          </w:p>
        </w:tc>
        <w:tc>
          <w:tcPr>
            <w:tcW w:type="dxa" w:w="1474"/>
            <w:vAlign w:val="center"/>
            <w:shd w:fill="F7F8F9"/>
            <w:tcMar>
              <w:top w:w="75" w:type="dxa"/>
              <w:bottom w:w="75" w:type="dxa"/>
              <w:left w:w="75" w:type="dxa"/>
              <w:right w:w="75" w:type="dxa"/>
            </w:tcMar>
          </w:tcPr>
          <w:p>
            <w:pPr>
              <w:spacing w:after="40" w:before="40"/>
            </w:pPr>
            <w:r>
              <w:rPr>
                <w:b w:val="0"/>
                <w:sz w:val="18"/>
              </w:rPr>
              <w:t>-0.484</w:t>
            </w:r>
          </w:p>
        </w:tc>
      </w:tr>
      <w:tr>
        <w:trPr>
          <w:cantSplit/>
        </w:trPr>
        <w:tc>
          <w:tcPr>
            <w:tcW w:type="dxa" w:w="5443"/>
            <w:vAlign w:val="center"/>
            <w:shd w:fill="FFFFFF"/>
            <w:tcMar>
              <w:top w:w="75" w:type="dxa"/>
              <w:bottom w:w="75" w:type="dxa"/>
              <w:left w:w="75" w:type="dxa"/>
              <w:right w:w="75" w:type="dxa"/>
            </w:tcMar>
          </w:tcPr>
          <w:p>
            <w:pPr>
              <w:spacing w:after="40" w:before="40"/>
            </w:pPr>
            <w:r>
              <w:rPr>
                <w:b w:val="0"/>
                <w:sz w:val="18"/>
              </w:rPr>
              <w:t>Elo only baseline</w:t>
            </w:r>
          </w:p>
        </w:tc>
        <w:tc>
          <w:tcPr>
            <w:tcW w:type="dxa" w:w="1474"/>
            <w:vAlign w:val="center"/>
            <w:shd w:fill="FFFFFF"/>
            <w:tcMar>
              <w:top w:w="75" w:type="dxa"/>
              <w:bottom w:w="75" w:type="dxa"/>
              <w:left w:w="75" w:type="dxa"/>
              <w:right w:w="75" w:type="dxa"/>
            </w:tcMar>
          </w:tcPr>
          <w:p>
            <w:pPr>
              <w:spacing w:after="40" w:before="40"/>
            </w:pPr>
            <w:r>
              <w:rPr>
                <w:b w:val="0"/>
                <w:sz w:val="18"/>
              </w:rPr>
              <w:t>1.262</w:t>
            </w:r>
          </w:p>
        </w:tc>
        <w:tc>
          <w:tcPr>
            <w:tcW w:type="dxa" w:w="1474"/>
            <w:vAlign w:val="center"/>
            <w:shd w:fill="FFFFFF"/>
            <w:tcMar>
              <w:top w:w="75" w:type="dxa"/>
              <w:bottom w:w="75" w:type="dxa"/>
              <w:left w:w="75" w:type="dxa"/>
              <w:right w:w="75" w:type="dxa"/>
            </w:tcMar>
          </w:tcPr>
          <w:p>
            <w:pPr>
              <w:spacing w:after="40" w:before="40"/>
            </w:pPr>
            <w:r>
              <w:rPr>
                <w:b w:val="0"/>
                <w:sz w:val="18"/>
              </w:rPr>
              <w:t>1.573</w:t>
            </w:r>
          </w:p>
        </w:tc>
        <w:tc>
          <w:tcPr>
            <w:tcW w:type="dxa" w:w="1474"/>
            <w:vAlign w:val="center"/>
            <w:shd w:fill="FFFFFF"/>
            <w:tcMar>
              <w:top w:w="75" w:type="dxa"/>
              <w:bottom w:w="75" w:type="dxa"/>
              <w:left w:w="75" w:type="dxa"/>
              <w:right w:w="75" w:type="dxa"/>
            </w:tcMar>
          </w:tcPr>
          <w:p>
            <w:pPr>
              <w:spacing w:after="40" w:before="40"/>
            </w:pPr>
            <w:r>
              <w:rPr>
                <w:b w:val="0"/>
                <w:sz w:val="18"/>
              </w:rPr>
              <w:t>-0.109</w:t>
            </w:r>
          </w:p>
        </w:tc>
      </w:tr>
      <w:tr>
        <w:trPr>
          <w:cantSplit/>
        </w:trPr>
        <w:tc>
          <w:tcPr>
            <w:tcW w:type="dxa" w:w="5443"/>
            <w:vAlign w:val="center"/>
            <w:shd w:fill="F7F8F9"/>
            <w:tcMar>
              <w:top w:w="75" w:type="dxa"/>
              <w:bottom w:w="75" w:type="dxa"/>
              <w:left w:w="75" w:type="dxa"/>
              <w:right w:w="75" w:type="dxa"/>
            </w:tcMar>
          </w:tcPr>
          <w:p>
            <w:pPr>
              <w:spacing w:after="40" w:before="40"/>
            </w:pPr>
            <w:r>
              <w:rPr>
                <w:b w:val="0"/>
                <w:sz w:val="18"/>
              </w:rPr>
              <w:t>Zero difference baseline</w:t>
            </w:r>
          </w:p>
        </w:tc>
        <w:tc>
          <w:tcPr>
            <w:tcW w:type="dxa" w:w="1474"/>
            <w:vAlign w:val="center"/>
            <w:shd w:fill="F7F8F9"/>
            <w:tcMar>
              <w:top w:w="75" w:type="dxa"/>
              <w:bottom w:w="75" w:type="dxa"/>
              <w:left w:w="75" w:type="dxa"/>
              <w:right w:w="75" w:type="dxa"/>
            </w:tcMar>
          </w:tcPr>
          <w:p>
            <w:pPr>
              <w:spacing w:after="40" w:before="40"/>
            </w:pPr>
            <w:r>
              <w:rPr>
                <w:b w:val="0"/>
                <w:sz w:val="18"/>
              </w:rPr>
              <w:t>1.316</w:t>
            </w:r>
          </w:p>
        </w:tc>
        <w:tc>
          <w:tcPr>
            <w:tcW w:type="dxa" w:w="1474"/>
            <w:vAlign w:val="center"/>
            <w:shd w:fill="F7F8F9"/>
            <w:tcMar>
              <w:top w:w="75" w:type="dxa"/>
              <w:bottom w:w="75" w:type="dxa"/>
              <w:left w:w="75" w:type="dxa"/>
              <w:right w:w="75" w:type="dxa"/>
            </w:tcMar>
          </w:tcPr>
          <w:p>
            <w:pPr>
              <w:spacing w:after="40" w:before="40"/>
            </w:pPr>
            <w:r>
              <w:rPr>
                <w:b w:val="0"/>
                <w:sz w:val="18"/>
              </w:rPr>
              <w:t>1.539</w:t>
            </w:r>
          </w:p>
        </w:tc>
        <w:tc>
          <w:tcPr>
            <w:tcW w:type="dxa" w:w="1474"/>
            <w:vAlign w:val="center"/>
            <w:shd w:fill="F7F8F9"/>
            <w:tcMar>
              <w:top w:w="75" w:type="dxa"/>
              <w:bottom w:w="75" w:type="dxa"/>
              <w:left w:w="75" w:type="dxa"/>
              <w:right w:w="75" w:type="dxa"/>
            </w:tcMar>
          </w:tcPr>
          <w:p>
            <w:pPr>
              <w:spacing w:after="40" w:before="40"/>
            </w:pPr>
            <w:r>
              <w:rPr>
                <w:b w:val="0"/>
                <w:sz w:val="18"/>
              </w:rPr>
              <w:t>-0.061</w:t>
            </w:r>
          </w:p>
        </w:tc>
      </w:tr>
    </w:tbl>
    <w:p>
      <w:pPr>
        <w:spacing w:after="0"/>
      </w:pPr>
    </w:p>
    <w:p>
      <w:r>
        <w:t>MAE is the average absolute prediction error in goals. RMSE gives greater weight to large errors. R² compares squared error with variation around the held-out outcome mean; a negative value means performance worse than that test-mean reference. The fitted model’s MAE is 1.146 goals, a 23.2% reduction from the training-mean baseline. It also outperforms the Elo-only and zero-difference baselines in this holdout [4].</w:t>
      </w:r>
    </w:p>
    <w:p>
      <w:r>
        <w:t>Held-out R² is only 0.128, well below the training value of 0.506. The prediction task therefore remains difficult even though errors improve over the specified baselines. The held-out outcomes range from −3 to +2 goals. They are all knockout matches, while the training set includes the full group stage and 13 round-of-32 matches. This change in match composition limits generalisation to an arbitrary future fixture.</w:t>
      </w:r>
    </w:p>
    <w:p>
      <w:pPr>
        <w:pStyle w:val="Heading2"/>
      </w:pPr>
      <w:r>
        <w:t>Development validation</w:t>
      </w:r>
    </w:p>
    <w:p>
      <w:r>
        <w:t>Three expanding-window validation folds were constructed within the development period. Whole calendar dates are kept together. Folds validate on 17–22 June, 23–27 June and 28 June–2 July respectively. The first fold has only 20 training matches for nine fitted parameters, so its estimates are particularly unstable. These folds provide a stability check rather than a search for a favourable specification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835"/>
        <w:gridCol w:w="1928"/>
        <w:gridCol w:w="2494"/>
        <w:gridCol w:w="1928"/>
      </w:tblGrid>
      <w:tr>
        <w:trPr>
          <w:cantSplit/>
          <w:tblHeader/>
        </w:trPr>
        <w:tc>
          <w:tcPr>
            <w:tcW w:type="dxa" w:w="680"/>
            <w:vAlign w:val="center"/>
            <w:shd w:fill="E8EDF1"/>
            <w:tcMar>
              <w:top w:w="75" w:type="dxa"/>
              <w:bottom w:w="75" w:type="dxa"/>
              <w:left w:w="75" w:type="dxa"/>
              <w:right w:w="75" w:type="dxa"/>
            </w:tcMar>
          </w:tcPr>
          <w:p>
            <w:pPr>
              <w:spacing w:after="40" w:before="40"/>
            </w:pPr>
            <w:r>
              <w:rPr>
                <w:b/>
                <w:sz w:val="18"/>
              </w:rPr>
              <w:t>Fold</w:t>
            </w:r>
          </w:p>
        </w:tc>
        <w:tc>
          <w:tcPr>
            <w:tcW w:type="dxa" w:w="2835"/>
            <w:vAlign w:val="center"/>
            <w:shd w:fill="E8EDF1"/>
            <w:tcMar>
              <w:top w:w="75" w:type="dxa"/>
              <w:bottom w:w="75" w:type="dxa"/>
              <w:left w:w="75" w:type="dxa"/>
              <w:right w:w="75" w:type="dxa"/>
            </w:tcMar>
          </w:tcPr>
          <w:p>
            <w:pPr>
              <w:spacing w:after="40" w:before="40"/>
            </w:pPr>
            <w:r>
              <w:rPr>
                <w:b/>
                <w:sz w:val="18"/>
              </w:rPr>
              <w:t>Train / validation matches</w:t>
            </w:r>
          </w:p>
        </w:tc>
        <w:tc>
          <w:tcPr>
            <w:tcW w:type="dxa" w:w="1928"/>
            <w:vAlign w:val="center"/>
            <w:shd w:fill="E8EDF1"/>
            <w:tcMar>
              <w:top w:w="75" w:type="dxa"/>
              <w:bottom w:w="75" w:type="dxa"/>
              <w:left w:w="75" w:type="dxa"/>
              <w:right w:w="75" w:type="dxa"/>
            </w:tcMar>
          </w:tcPr>
          <w:p>
            <w:pPr>
              <w:spacing w:after="40" w:before="40"/>
            </w:pPr>
            <w:r>
              <w:rPr>
                <w:b/>
                <w:sz w:val="18"/>
              </w:rPr>
              <w:t>OLS MAE</w:t>
            </w:r>
          </w:p>
        </w:tc>
        <w:tc>
          <w:tcPr>
            <w:tcW w:type="dxa" w:w="2494"/>
            <w:vAlign w:val="center"/>
            <w:shd w:fill="E8EDF1"/>
            <w:tcMar>
              <w:top w:w="75" w:type="dxa"/>
              <w:bottom w:w="75" w:type="dxa"/>
              <w:left w:w="75" w:type="dxa"/>
              <w:right w:w="75" w:type="dxa"/>
            </w:tcMar>
          </w:tcPr>
          <w:p>
            <w:pPr>
              <w:spacing w:after="40" w:before="40"/>
            </w:pPr>
            <w:r>
              <w:rPr>
                <w:b/>
                <w:sz w:val="18"/>
              </w:rPr>
              <w:t>Mean baseline MAE</w:t>
            </w:r>
          </w:p>
        </w:tc>
        <w:tc>
          <w:tcPr>
            <w:tcW w:type="dxa" w:w="1928"/>
            <w:vAlign w:val="center"/>
            <w:shd w:fill="E8EDF1"/>
            <w:tcMar>
              <w:top w:w="75" w:type="dxa"/>
              <w:bottom w:w="75" w:type="dxa"/>
              <w:left w:w="75" w:type="dxa"/>
              <w:right w:w="75" w:type="dxa"/>
            </w:tcMar>
          </w:tcPr>
          <w:p>
            <w:pPr>
              <w:spacing w:after="40" w:before="40"/>
            </w:pPr>
            <w:r>
              <w:rPr>
                <w:b/>
                <w:sz w:val="18"/>
              </w:rPr>
              <w:t>OLS R²</w:t>
            </w:r>
          </w:p>
        </w:tc>
      </w:tr>
      <w:tr>
        <w:trPr>
          <w:cantSplit/>
        </w:trPr>
        <w:tc>
          <w:tcPr>
            <w:tcW w:type="dxa" w:w="680"/>
            <w:vAlign w:val="center"/>
            <w:shd w:fill="FFFFFF"/>
            <w:tcMar>
              <w:top w:w="75" w:type="dxa"/>
              <w:bottom w:w="75" w:type="dxa"/>
              <w:left w:w="75" w:type="dxa"/>
              <w:right w:w="75" w:type="dxa"/>
            </w:tcMar>
          </w:tcPr>
          <w:p>
            <w:pPr>
              <w:spacing w:after="40" w:before="40"/>
            </w:pPr>
            <w:r>
              <w:rPr>
                <w:b w:val="0"/>
                <w:sz w:val="18"/>
              </w:rPr>
              <w:t>1</w:t>
            </w:r>
          </w:p>
        </w:tc>
        <w:tc>
          <w:tcPr>
            <w:tcW w:type="dxa" w:w="2835"/>
            <w:vAlign w:val="center"/>
            <w:shd w:fill="FFFFFF"/>
            <w:tcMar>
              <w:top w:w="75" w:type="dxa"/>
              <w:bottom w:w="75" w:type="dxa"/>
              <w:left w:w="75" w:type="dxa"/>
              <w:right w:w="75" w:type="dxa"/>
            </w:tcMar>
          </w:tcPr>
          <w:p>
            <w:pPr>
              <w:spacing w:after="40" w:before="40"/>
            </w:pPr>
            <w:r>
              <w:rPr>
                <w:b w:val="0"/>
                <w:sz w:val="18"/>
              </w:rPr>
              <w:t>20 / 24</w:t>
            </w:r>
          </w:p>
        </w:tc>
        <w:tc>
          <w:tcPr>
            <w:tcW w:type="dxa" w:w="1928"/>
            <w:vAlign w:val="center"/>
            <w:shd w:fill="FFFFFF"/>
            <w:tcMar>
              <w:top w:w="75" w:type="dxa"/>
              <w:bottom w:w="75" w:type="dxa"/>
              <w:left w:w="75" w:type="dxa"/>
              <w:right w:w="75" w:type="dxa"/>
            </w:tcMar>
          </w:tcPr>
          <w:p>
            <w:pPr>
              <w:spacing w:after="40" w:before="40"/>
            </w:pPr>
            <w:r>
              <w:rPr>
                <w:b w:val="0"/>
                <w:sz w:val="18"/>
              </w:rPr>
              <w:t>1.836</w:t>
            </w:r>
          </w:p>
        </w:tc>
        <w:tc>
          <w:tcPr>
            <w:tcW w:type="dxa" w:w="2494"/>
            <w:vAlign w:val="center"/>
            <w:shd w:fill="FFFFFF"/>
            <w:tcMar>
              <w:top w:w="75" w:type="dxa"/>
              <w:bottom w:w="75" w:type="dxa"/>
              <w:left w:w="75" w:type="dxa"/>
              <w:right w:w="75" w:type="dxa"/>
            </w:tcMar>
          </w:tcPr>
          <w:p>
            <w:pPr>
              <w:spacing w:after="40" w:before="40"/>
            </w:pPr>
            <w:r>
              <w:rPr>
                <w:b w:val="0"/>
                <w:sz w:val="18"/>
              </w:rPr>
              <w:t>1.775</w:t>
            </w:r>
          </w:p>
        </w:tc>
        <w:tc>
          <w:tcPr>
            <w:tcW w:type="dxa" w:w="1928"/>
            <w:vAlign w:val="center"/>
            <w:shd w:fill="FFFFFF"/>
            <w:tcMar>
              <w:top w:w="75" w:type="dxa"/>
              <w:bottom w:w="75" w:type="dxa"/>
              <w:left w:w="75" w:type="dxa"/>
              <w:right w:w="75" w:type="dxa"/>
            </w:tcMar>
          </w:tcPr>
          <w:p>
            <w:pPr>
              <w:spacing w:after="40" w:before="40"/>
            </w:pPr>
            <w:r>
              <w:rPr>
                <w:b w:val="0"/>
                <w:sz w:val="18"/>
              </w:rPr>
              <w:t>-0.172</w:t>
            </w:r>
          </w:p>
        </w:tc>
      </w:tr>
      <w:tr>
        <w:trPr>
          <w:cantSplit/>
        </w:trPr>
        <w:tc>
          <w:tcPr>
            <w:tcW w:type="dxa" w:w="680"/>
            <w:vAlign w:val="center"/>
            <w:shd w:fill="F7F8F9"/>
            <w:tcMar>
              <w:top w:w="75" w:type="dxa"/>
              <w:bottom w:w="75" w:type="dxa"/>
              <w:left w:w="75" w:type="dxa"/>
              <w:right w:w="75" w:type="dxa"/>
            </w:tcMar>
          </w:tcPr>
          <w:p>
            <w:pPr>
              <w:spacing w:after="40" w:before="40"/>
            </w:pPr>
            <w:r>
              <w:rPr>
                <w:b w:val="0"/>
                <w:sz w:val="18"/>
              </w:rPr>
              <w:t>2</w:t>
            </w:r>
          </w:p>
        </w:tc>
        <w:tc>
          <w:tcPr>
            <w:tcW w:type="dxa" w:w="2835"/>
            <w:vAlign w:val="center"/>
            <w:shd w:fill="F7F8F9"/>
            <w:tcMar>
              <w:top w:w="75" w:type="dxa"/>
              <w:bottom w:w="75" w:type="dxa"/>
              <w:left w:w="75" w:type="dxa"/>
              <w:right w:w="75" w:type="dxa"/>
            </w:tcMar>
          </w:tcPr>
          <w:p>
            <w:pPr>
              <w:spacing w:after="40" w:before="40"/>
            </w:pPr>
            <w:r>
              <w:rPr>
                <w:b w:val="0"/>
                <w:sz w:val="18"/>
              </w:rPr>
              <w:t>44 / 28</w:t>
            </w:r>
          </w:p>
        </w:tc>
        <w:tc>
          <w:tcPr>
            <w:tcW w:type="dxa" w:w="1928"/>
            <w:vAlign w:val="center"/>
            <w:shd w:fill="F7F8F9"/>
            <w:tcMar>
              <w:top w:w="75" w:type="dxa"/>
              <w:bottom w:w="75" w:type="dxa"/>
              <w:left w:w="75" w:type="dxa"/>
              <w:right w:w="75" w:type="dxa"/>
            </w:tcMar>
          </w:tcPr>
          <w:p>
            <w:pPr>
              <w:spacing w:after="40" w:before="40"/>
            </w:pPr>
            <w:r>
              <w:rPr>
                <w:b w:val="0"/>
                <w:sz w:val="18"/>
              </w:rPr>
              <w:t>1.387</w:t>
            </w:r>
          </w:p>
        </w:tc>
        <w:tc>
          <w:tcPr>
            <w:tcW w:type="dxa" w:w="2494"/>
            <w:vAlign w:val="center"/>
            <w:shd w:fill="F7F8F9"/>
            <w:tcMar>
              <w:top w:w="75" w:type="dxa"/>
              <w:bottom w:w="75" w:type="dxa"/>
              <w:left w:w="75" w:type="dxa"/>
              <w:right w:w="75" w:type="dxa"/>
            </w:tcMar>
          </w:tcPr>
          <w:p>
            <w:pPr>
              <w:spacing w:after="40" w:before="40"/>
            </w:pPr>
            <w:r>
              <w:rPr>
                <w:b w:val="0"/>
                <w:sz w:val="18"/>
              </w:rPr>
              <w:t>1.821</w:t>
            </w:r>
          </w:p>
        </w:tc>
        <w:tc>
          <w:tcPr>
            <w:tcW w:type="dxa" w:w="1928"/>
            <w:vAlign w:val="center"/>
            <w:shd w:fill="F7F8F9"/>
            <w:tcMar>
              <w:top w:w="75" w:type="dxa"/>
              <w:bottom w:w="75" w:type="dxa"/>
              <w:left w:w="75" w:type="dxa"/>
              <w:right w:w="75" w:type="dxa"/>
            </w:tcMar>
          </w:tcPr>
          <w:p>
            <w:pPr>
              <w:spacing w:after="40" w:before="40"/>
            </w:pPr>
            <w:r>
              <w:rPr>
                <w:b w:val="0"/>
                <w:sz w:val="18"/>
              </w:rPr>
              <w:t>0.309</w:t>
            </w:r>
          </w:p>
        </w:tc>
      </w:tr>
      <w:tr>
        <w:trPr>
          <w:cantSplit/>
        </w:trPr>
        <w:tc>
          <w:tcPr>
            <w:tcW w:type="dxa" w:w="680"/>
            <w:vAlign w:val="center"/>
            <w:shd w:fill="FFFFFF"/>
            <w:tcMar>
              <w:top w:w="75" w:type="dxa"/>
              <w:bottom w:w="75" w:type="dxa"/>
              <w:left w:w="75" w:type="dxa"/>
              <w:right w:w="75" w:type="dxa"/>
            </w:tcMar>
          </w:tcPr>
          <w:p>
            <w:pPr>
              <w:spacing w:after="40" w:before="40"/>
            </w:pPr>
            <w:r>
              <w:rPr>
                <w:b w:val="0"/>
                <w:sz w:val="18"/>
              </w:rPr>
              <w:t>3</w:t>
            </w:r>
          </w:p>
        </w:tc>
        <w:tc>
          <w:tcPr>
            <w:tcW w:type="dxa" w:w="2835"/>
            <w:vAlign w:val="center"/>
            <w:shd w:fill="FFFFFF"/>
            <w:tcMar>
              <w:top w:w="75" w:type="dxa"/>
              <w:bottom w:w="75" w:type="dxa"/>
              <w:left w:w="75" w:type="dxa"/>
              <w:right w:w="75" w:type="dxa"/>
            </w:tcMar>
          </w:tcPr>
          <w:p>
            <w:pPr>
              <w:spacing w:after="40" w:before="40"/>
            </w:pPr>
            <w:r>
              <w:rPr>
                <w:b w:val="0"/>
                <w:sz w:val="18"/>
              </w:rPr>
              <w:t>72 / 13</w:t>
            </w:r>
          </w:p>
        </w:tc>
        <w:tc>
          <w:tcPr>
            <w:tcW w:type="dxa" w:w="1928"/>
            <w:vAlign w:val="center"/>
            <w:shd w:fill="FFFFFF"/>
            <w:tcMar>
              <w:top w:w="75" w:type="dxa"/>
              <w:bottom w:w="75" w:type="dxa"/>
              <w:left w:w="75" w:type="dxa"/>
              <w:right w:w="75" w:type="dxa"/>
            </w:tcMar>
          </w:tcPr>
          <w:p>
            <w:pPr>
              <w:spacing w:after="40" w:before="40"/>
            </w:pPr>
            <w:r>
              <w:rPr>
                <w:b w:val="0"/>
                <w:sz w:val="18"/>
              </w:rPr>
              <w:t>0.841</w:t>
            </w:r>
          </w:p>
        </w:tc>
        <w:tc>
          <w:tcPr>
            <w:tcW w:type="dxa" w:w="2494"/>
            <w:vAlign w:val="center"/>
            <w:shd w:fill="FFFFFF"/>
            <w:tcMar>
              <w:top w:w="75" w:type="dxa"/>
              <w:bottom w:w="75" w:type="dxa"/>
              <w:left w:w="75" w:type="dxa"/>
              <w:right w:w="75" w:type="dxa"/>
            </w:tcMar>
          </w:tcPr>
          <w:p>
            <w:pPr>
              <w:spacing w:after="40" w:before="40"/>
            </w:pPr>
            <w:r>
              <w:rPr>
                <w:b w:val="0"/>
                <w:sz w:val="18"/>
              </w:rPr>
              <w:t>1.155</w:t>
            </w:r>
          </w:p>
        </w:tc>
        <w:tc>
          <w:tcPr>
            <w:tcW w:type="dxa" w:w="1928"/>
            <w:vAlign w:val="center"/>
            <w:shd w:fill="FFFFFF"/>
            <w:tcMar>
              <w:top w:w="75" w:type="dxa"/>
              <w:bottom w:w="75" w:type="dxa"/>
              <w:left w:w="75" w:type="dxa"/>
              <w:right w:w="75" w:type="dxa"/>
            </w:tcMar>
          </w:tcPr>
          <w:p>
            <w:pPr>
              <w:spacing w:after="40" w:before="40"/>
            </w:pPr>
            <w:r>
              <w:rPr>
                <w:b w:val="0"/>
                <w:sz w:val="18"/>
              </w:rPr>
              <w:t>0.338</w:t>
            </w:r>
          </w:p>
        </w:tc>
      </w:tr>
    </w:tbl>
    <w:p>
      <w:pPr>
        <w:spacing w:after="0"/>
      </w:pPr>
    </w:p>
    <w:p>
      <w:r>
        <w:t>The eight-variable model performs worse than the mean baseline in the earliest fold but improves in the later folds. This inconsistency is evidence against treating one good test score as a reliable universal accuracy estimate.</w:t>
      </w:r>
    </w:p>
    <w:p>
      <w:pPr>
        <w:pStyle w:val="Heading2"/>
      </w:pPr>
      <w:r>
        <w:t>Uncertainty in the apparent improvement</w:t>
      </w:r>
    </w:p>
    <w:p>
      <w:r>
        <w:t>A 3,000-resample bootstrap of whole held-out matches, with the trained coefficients fixed, gives an approximate 95% interval of 0.793 to 1.521 goals for MAE. The interval for MAE improvement over the mean baseline is −0.071 to 0.748 goals. Because it includes zero, the observed improvement is not established precisely by these 19 matches. These are conditional performance intervals, not individual-match prediction intervals; recurring teams and temporal dependence can make them overoptimistic.</w:t>
      </w:r>
    </w:p>
    <w:p>
      <w:pPr>
        <w:pStyle w:val="Heading1"/>
        <w:pageBreakBefore/>
      </w:pPr>
      <w:r>
        <w:t>Regression 2 1 diagnostics and limitations</w:t>
      </w:r>
    </w:p>
    <w:p>
      <w:r>
        <w:t>Diagnostics were computed using training residuals, avoiding specification changes driven by held-out errors. Residual plots check patterns left unexplained by the linear model; Q-Q plots compare residual tails with a normal reference. Cook’s distance identifies observations whose removal may materially change fitted coefficients.</w:t>
      </w:r>
    </w:p>
    <w:p>
      <w:pPr>
        <w:keepNext/>
      </w:pPr>
      <w:r>
        <w:drawing>
          <wp:inline xmlns:a="http://schemas.openxmlformats.org/drawingml/2006/main" xmlns:pic="http://schemas.openxmlformats.org/drawingml/2006/picture">
            <wp:extent cx="6228000" cy="4380132"/>
            <wp:docPr id="1" name="Picture 1" descr="Regression diagnostics figure 1: residual versus fitted, normal Q-Q, held-out observed versus predicted, and Cook distance panels."/>
            <wp:cNvGraphicFramePr>
              <a:graphicFrameLocks noChangeAspect="1"/>
            </wp:cNvGraphicFramePr>
            <a:graphic>
              <a:graphicData uri="http://schemas.openxmlformats.org/drawingml/2006/picture">
                <pic:pic>
                  <pic:nvPicPr>
                    <pic:cNvPr id="0" name="diagnostics_2_1.png"/>
                    <pic:cNvPicPr/>
                  </pic:nvPicPr>
                  <pic:blipFill>
                    <a:blip r:embed="rId10"/>
                    <a:stretch>
                      <a:fillRect/>
                    </a:stretch>
                  </pic:blipFill>
                  <pic:spPr>
                    <a:xfrm>
                      <a:off x="0" y="0"/>
                      <a:ext cx="6228000" cy="4380132"/>
                    </a:xfrm>
                    <a:prstGeom prst="rect"/>
                  </pic:spPr>
                </pic:pic>
              </a:graphicData>
            </a:graphic>
          </wp:inline>
        </w:drawing>
      </w:r>
    </w:p>
    <w:p>
      <w:pPr>
        <w:pStyle w:val="Caption"/>
      </w:pPr>
      <w:r>
        <w:t>Figure 1. Python-generated training diagnostics and held-out predictions for Regression 2.1. The dashed Cook’s-distance line is the screening value 4/n; it is not a deletion rule.</w:t>
      </w:r>
    </w:p>
    <w:p>
      <w:r>
        <w:t>The residual-versus-fitted plot has visible bands because observed goal differences are integers. It does not establish perfect linearity. The Q-Q plot is reasonably aligned centrally with some tail departures. Shapiro–Wilk p = 0.225 and Breusch–Pagan p = 0.578 do not provide strong evidence against residual normality or constant variance, respectively; failure to reject does not prove either assumption.</w:t>
      </w:r>
    </w:p>
    <w:p>
      <w:r>
        <w:t>Maximum variance inflation factor is 8.006 for Elo difference, followed by 4.632 for win-rate difference and 3.633 for World Cup experience. This explains why a useful strength signal may have an uncertain conditional slope. The eight specified predictors are retained to preserve the task design; any future reduced or regularised model would require separate validation.</w:t>
      </w:r>
    </w:p>
    <w:p>
      <w:r>
        <w:t>Six training observations exceed Cook’s distance 4/85. The most influential is Ecuador versus Germany, match M056. Omitting this training match in a labelled sensitivity analysis changes held-out MAE from 1.146 to 1.143 and RMSE from 1.395 to 1.403. The largest individual prediction change is 0.420 goals. The main model retains this genuine match: unusual results are part of the forecasting task, not data errors.</w:t>
      </w:r>
    </w:p>
    <w:p>
      <w:r>
        <w:t>HC3 addresses unequal error variance but not dependence created by teams appearing repeatedly. Team A ordering also matters because the fitted intercept is nonzero: exchanging the labels is not guaranteed to negate the prediction exactly. All evaluation therefore uses the fixed FIFA ordering. A future model could impose antisymmetry, but that is not the fitted specification assessed here.</w:t>
      </w:r>
    </w:p>
    <w:p>
      <w:pPr>
        <w:pStyle w:val="Heading1"/>
        <w:pageBreakBefore/>
      </w:pPr>
      <w:r>
        <w:t>Regression 2 2 explanatory variables</w:t>
      </w:r>
    </w:p>
    <w:p>
      <w:r>
        <w:t>Each match is expanded into two rows, one for each team. The outcome is that team’s goals. Opponent information is joined from the opposing team’s pre-match history, never from the target match itself. The two rows are dependent observations and remain together throughout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5669"/>
        <w:gridCol w:w="3572"/>
      </w:tblGrid>
      <w:tr>
        <w:trPr>
          <w:cantSplit/>
          <w:tblHeader/>
        </w:trPr>
        <w:tc>
          <w:tcPr>
            <w:tcW w:type="dxa" w:w="624"/>
            <w:vAlign w:val="center"/>
            <w:shd w:fill="E8EDF1"/>
            <w:tcMar>
              <w:top w:w="75" w:type="dxa"/>
              <w:bottom w:w="75" w:type="dxa"/>
              <w:left w:w="75" w:type="dxa"/>
              <w:right w:w="75" w:type="dxa"/>
            </w:tcMar>
          </w:tcPr>
          <w:p>
            <w:pPr>
              <w:spacing w:after="40" w:before="40"/>
            </w:pPr>
            <w:r>
              <w:rPr>
                <w:b/>
                <w:sz w:val="18"/>
              </w:rPr>
              <w:t>Term</w:t>
            </w:r>
          </w:p>
        </w:tc>
        <w:tc>
          <w:tcPr>
            <w:tcW w:type="dxa" w:w="5669"/>
            <w:vAlign w:val="center"/>
            <w:shd w:fill="E8EDF1"/>
            <w:tcMar>
              <w:top w:w="75" w:type="dxa"/>
              <w:bottom w:w="75" w:type="dxa"/>
              <w:left w:w="75" w:type="dxa"/>
              <w:right w:w="75" w:type="dxa"/>
            </w:tcMar>
          </w:tcPr>
          <w:p>
            <w:pPr>
              <w:spacing w:after="40" w:before="40"/>
            </w:pPr>
            <w:r>
              <w:rPr>
                <w:b/>
                <w:sz w:val="18"/>
              </w:rPr>
              <w:t>Predictor and construction</w:t>
            </w:r>
          </w:p>
        </w:tc>
        <w:tc>
          <w:tcPr>
            <w:tcW w:type="dxa" w:w="3572"/>
            <w:vAlign w:val="center"/>
            <w:shd w:fill="E8EDF1"/>
            <w:tcMar>
              <w:top w:w="75" w:type="dxa"/>
              <w:bottom w:w="75" w:type="dxa"/>
              <w:left w:w="75" w:type="dxa"/>
              <w:right w:w="75" w:type="dxa"/>
            </w:tcMar>
          </w:tcPr>
          <w:p>
            <w:pPr>
              <w:spacing w:after="40" w:before="40"/>
            </w:pPr>
            <w:r>
              <w:rPr>
                <w:b/>
                <w:sz w:val="18"/>
              </w:rPr>
              <w:t>Expected role</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x1</w:t>
            </w:r>
          </w:p>
        </w:tc>
        <w:tc>
          <w:tcPr>
            <w:tcW w:type="dxa" w:w="5669"/>
            <w:vAlign w:val="center"/>
            <w:shd w:fill="FFFFFF"/>
            <w:tcMar>
              <w:top w:w="75" w:type="dxa"/>
              <w:bottom w:w="75" w:type="dxa"/>
              <w:left w:w="75" w:type="dxa"/>
              <w:right w:w="75" w:type="dxa"/>
            </w:tcMar>
          </w:tcPr>
          <w:p>
            <w:pPr>
              <w:spacing w:after="40" w:before="40"/>
            </w:pPr>
            <w:r>
              <w:rPr>
                <w:b w:val="0"/>
                <w:sz w:val="18"/>
              </w:rPr>
              <w:t>Elo difference: (team rating − opponent rating) / 100.</w:t>
            </w:r>
          </w:p>
        </w:tc>
        <w:tc>
          <w:tcPr>
            <w:tcW w:type="dxa" w:w="3572"/>
            <w:vAlign w:val="center"/>
            <w:shd w:fill="FFFFFF"/>
            <w:tcMar>
              <w:top w:w="75" w:type="dxa"/>
              <w:bottom w:w="75" w:type="dxa"/>
              <w:left w:w="75" w:type="dxa"/>
              <w:right w:w="75" w:type="dxa"/>
            </w:tcMar>
          </w:tcPr>
          <w:p>
            <w:pPr>
              <w:spacing w:after="40" w:before="40"/>
            </w:pPr>
            <w:r>
              <w:rPr>
                <w:b w:val="0"/>
                <w:sz w:val="18"/>
              </w:rPr>
              <w:t>Relative quality; expected positive slope.</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x2</w:t>
            </w:r>
          </w:p>
        </w:tc>
        <w:tc>
          <w:tcPr>
            <w:tcW w:type="dxa" w:w="5669"/>
            <w:vAlign w:val="center"/>
            <w:shd w:fill="F7F8F9"/>
            <w:tcMar>
              <w:top w:w="75" w:type="dxa"/>
              <w:bottom w:w="75" w:type="dxa"/>
              <w:left w:w="75" w:type="dxa"/>
              <w:right w:w="75" w:type="dxa"/>
            </w:tcMar>
          </w:tcPr>
          <w:p>
            <w:pPr>
              <w:spacing w:after="40" w:before="40"/>
            </w:pPr>
            <w:r>
              <w:rPr>
                <w:b w:val="0"/>
                <w:sz w:val="18"/>
              </w:rPr>
              <w:t>Rest difference: capped team rest days − capped opponent rest days, with the same 14-day cap.</w:t>
            </w:r>
          </w:p>
        </w:tc>
        <w:tc>
          <w:tcPr>
            <w:tcW w:type="dxa" w:w="3572"/>
            <w:vAlign w:val="center"/>
            <w:shd w:fill="F7F8F9"/>
            <w:tcMar>
              <w:top w:w="75" w:type="dxa"/>
              <w:bottom w:w="75" w:type="dxa"/>
              <w:left w:w="75" w:type="dxa"/>
              <w:right w:w="75" w:type="dxa"/>
            </w:tcMar>
          </w:tcPr>
          <w:p>
            <w:pPr>
              <w:spacing w:after="40" w:before="40"/>
            </w:pPr>
            <w:r>
              <w:rPr>
                <w:b w:val="0"/>
                <w:sz w:val="18"/>
              </w:rPr>
              <w:t>Relative recovery; an uncertain but potentially positive effect.</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x3</w:t>
            </w:r>
          </w:p>
        </w:tc>
        <w:tc>
          <w:tcPr>
            <w:tcW w:type="dxa" w:w="5669"/>
            <w:vAlign w:val="center"/>
            <w:shd w:fill="FFFFFF"/>
            <w:tcMar>
              <w:top w:w="75" w:type="dxa"/>
              <w:bottom w:w="75" w:type="dxa"/>
              <w:left w:w="75" w:type="dxa"/>
              <w:right w:w="75" w:type="dxa"/>
            </w:tcMar>
          </w:tcPr>
          <w:p>
            <w:pPr>
              <w:spacing w:after="40" w:before="40"/>
            </w:pPr>
            <w:r>
              <w:rPr>
                <w:b w:val="0"/>
                <w:sz w:val="18"/>
              </w:rPr>
              <w:t>Home advantage: +1 in the team’s country, −1 in the opponent’s country, otherwise 0.</w:t>
            </w:r>
          </w:p>
        </w:tc>
        <w:tc>
          <w:tcPr>
            <w:tcW w:type="dxa" w:w="3572"/>
            <w:vAlign w:val="center"/>
            <w:shd w:fill="FFFFFF"/>
            <w:tcMar>
              <w:top w:w="75" w:type="dxa"/>
              <w:bottom w:w="75" w:type="dxa"/>
              <w:left w:w="75" w:type="dxa"/>
              <w:right w:w="75" w:type="dxa"/>
            </w:tcMar>
          </w:tcPr>
          <w:p>
            <w:pPr>
              <w:spacing w:after="40" w:before="40"/>
            </w:pPr>
            <w:r>
              <w:rPr>
                <w:b w:val="0"/>
                <w:sz w:val="18"/>
              </w:rPr>
              <w:t>Venue context and support; expected positive slope.</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x4</w:t>
            </w:r>
          </w:p>
        </w:tc>
        <w:tc>
          <w:tcPr>
            <w:tcW w:type="dxa" w:w="5669"/>
            <w:vAlign w:val="center"/>
            <w:shd w:fill="F7F8F9"/>
            <w:tcMar>
              <w:top w:w="75" w:type="dxa"/>
              <w:bottom w:w="75" w:type="dxa"/>
              <w:left w:w="75" w:type="dxa"/>
              <w:right w:w="75" w:type="dxa"/>
            </w:tcMar>
          </w:tcPr>
          <w:p>
            <w:pPr>
              <w:spacing w:after="40" w:before="40"/>
            </w:pPr>
            <w:r>
              <w:rPr>
                <w:b w:val="0"/>
                <w:sz w:val="18"/>
              </w:rPr>
              <w:t>Competitive share: fraction of the team’s last 10 prior games labelled other than Friendly.</w:t>
            </w:r>
          </w:p>
        </w:tc>
        <w:tc>
          <w:tcPr>
            <w:tcW w:type="dxa" w:w="3572"/>
            <w:vAlign w:val="center"/>
            <w:shd w:fill="F7F8F9"/>
            <w:tcMar>
              <w:top w:w="75" w:type="dxa"/>
              <w:bottom w:w="75" w:type="dxa"/>
              <w:left w:w="75" w:type="dxa"/>
              <w:right w:w="75" w:type="dxa"/>
            </w:tcMar>
          </w:tcPr>
          <w:p>
            <w:pPr>
              <w:spacing w:after="40" w:before="40"/>
            </w:pPr>
            <w:r>
              <w:rPr>
                <w:b w:val="0"/>
                <w:sz w:val="18"/>
              </w:rPr>
              <w:t>Context of preparation; expected sign is uncertain.</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x5</w:t>
            </w:r>
          </w:p>
        </w:tc>
        <w:tc>
          <w:tcPr>
            <w:tcW w:type="dxa" w:w="5669"/>
            <w:vAlign w:val="center"/>
            <w:shd w:fill="FFFFFF"/>
            <w:tcMar>
              <w:top w:w="75" w:type="dxa"/>
              <w:bottom w:w="75" w:type="dxa"/>
              <w:left w:w="75" w:type="dxa"/>
              <w:right w:w="75" w:type="dxa"/>
            </w:tcMar>
          </w:tcPr>
          <w:p>
            <w:pPr>
              <w:spacing w:after="40" w:before="40"/>
            </w:pPr>
            <w:r>
              <w:rPr>
                <w:b w:val="0"/>
                <w:sz w:val="18"/>
              </w:rPr>
              <w:t>Goals-for mean: team’s mean goals scored across its last 10 prior internationals.</w:t>
            </w:r>
          </w:p>
        </w:tc>
        <w:tc>
          <w:tcPr>
            <w:tcW w:type="dxa" w:w="3572"/>
            <w:vAlign w:val="center"/>
            <w:shd w:fill="FFFFFF"/>
            <w:tcMar>
              <w:top w:w="75" w:type="dxa"/>
              <w:bottom w:w="75" w:type="dxa"/>
              <w:left w:w="75" w:type="dxa"/>
              <w:right w:w="75" w:type="dxa"/>
            </w:tcMar>
          </w:tcPr>
          <w:p>
            <w:pPr>
              <w:spacing w:after="40" w:before="40"/>
            </w:pPr>
            <w:r>
              <w:rPr>
                <w:b w:val="0"/>
                <w:sz w:val="18"/>
              </w:rPr>
              <w:t>Recent attacking output; expected positive slope.</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x6</w:t>
            </w:r>
          </w:p>
        </w:tc>
        <w:tc>
          <w:tcPr>
            <w:tcW w:type="dxa" w:w="5669"/>
            <w:vAlign w:val="center"/>
            <w:shd w:fill="F7F8F9"/>
            <w:tcMar>
              <w:top w:w="75" w:type="dxa"/>
              <w:bottom w:w="75" w:type="dxa"/>
              <w:left w:w="75" w:type="dxa"/>
              <w:right w:w="75" w:type="dxa"/>
            </w:tcMar>
          </w:tcPr>
          <w:p>
            <w:pPr>
              <w:spacing w:after="40" w:before="40"/>
            </w:pPr>
            <w:r>
              <w:rPr>
                <w:b w:val="0"/>
                <w:sz w:val="18"/>
              </w:rPr>
              <w:t>Opponent goals-against mean: opponent’s mean goals conceded across its last 10 prior internationals.</w:t>
            </w:r>
          </w:p>
        </w:tc>
        <w:tc>
          <w:tcPr>
            <w:tcW w:type="dxa" w:w="3572"/>
            <w:vAlign w:val="center"/>
            <w:shd w:fill="F7F8F9"/>
            <w:tcMar>
              <w:top w:w="75" w:type="dxa"/>
              <w:bottom w:w="75" w:type="dxa"/>
              <w:left w:w="75" w:type="dxa"/>
              <w:right w:w="75" w:type="dxa"/>
            </w:tcMar>
          </w:tcPr>
          <w:p>
            <w:pPr>
              <w:spacing w:after="40" w:before="40"/>
            </w:pPr>
            <w:r>
              <w:rPr>
                <w:b w:val="0"/>
                <w:sz w:val="18"/>
              </w:rPr>
              <w:t>Opposition defensive vulnerability; expected positive slope.</w:t>
            </w:r>
          </w:p>
        </w:tc>
      </w:tr>
      <w:tr>
        <w:trPr>
          <w:cantSplit/>
        </w:trPr>
        <w:tc>
          <w:tcPr>
            <w:tcW w:type="dxa" w:w="624"/>
            <w:vAlign w:val="center"/>
            <w:shd w:fill="FFFFFF"/>
            <w:tcMar>
              <w:top w:w="75" w:type="dxa"/>
              <w:bottom w:w="75" w:type="dxa"/>
              <w:left w:w="75" w:type="dxa"/>
              <w:right w:w="75" w:type="dxa"/>
            </w:tcMar>
          </w:tcPr>
          <w:p>
            <w:pPr>
              <w:spacing w:after="40" w:before="40"/>
            </w:pPr>
            <w:r>
              <w:rPr>
                <w:b w:val="0"/>
                <w:sz w:val="18"/>
              </w:rPr>
              <w:t>x7</w:t>
            </w:r>
          </w:p>
        </w:tc>
        <w:tc>
          <w:tcPr>
            <w:tcW w:type="dxa" w:w="5669"/>
            <w:vAlign w:val="center"/>
            <w:shd w:fill="FFFFFF"/>
            <w:tcMar>
              <w:top w:w="75" w:type="dxa"/>
              <w:bottom w:w="75" w:type="dxa"/>
              <w:left w:w="75" w:type="dxa"/>
              <w:right w:w="75" w:type="dxa"/>
            </w:tcMar>
          </w:tcPr>
          <w:p>
            <w:pPr>
              <w:spacing w:after="40" w:before="40"/>
            </w:pPr>
            <w:r>
              <w:rPr>
                <w:b w:val="0"/>
                <w:sz w:val="18"/>
              </w:rPr>
              <w:t>Failed-to-score rate: fraction of team’s last 10 prior internationals with zero goals scored.</w:t>
            </w:r>
          </w:p>
        </w:tc>
        <w:tc>
          <w:tcPr>
            <w:tcW w:type="dxa" w:w="3572"/>
            <w:vAlign w:val="center"/>
            <w:shd w:fill="FFFFFF"/>
            <w:tcMar>
              <w:top w:w="75" w:type="dxa"/>
              <w:bottom w:w="75" w:type="dxa"/>
              <w:left w:w="75" w:type="dxa"/>
              <w:right w:w="75" w:type="dxa"/>
            </w:tcMar>
          </w:tcPr>
          <w:p>
            <w:pPr>
              <w:spacing w:after="40" w:before="40"/>
            </w:pPr>
            <w:r>
              <w:rPr>
                <w:b w:val="0"/>
                <w:sz w:val="18"/>
              </w:rPr>
              <w:t>Frequency of attacking failure; expected negative slope.</w:t>
            </w:r>
          </w:p>
        </w:tc>
      </w:tr>
      <w:tr>
        <w:trPr>
          <w:cantSplit/>
        </w:trPr>
        <w:tc>
          <w:tcPr>
            <w:tcW w:type="dxa" w:w="624"/>
            <w:vAlign w:val="center"/>
            <w:shd w:fill="F7F8F9"/>
            <w:tcMar>
              <w:top w:w="75" w:type="dxa"/>
              <w:bottom w:w="75" w:type="dxa"/>
              <w:left w:w="75" w:type="dxa"/>
              <w:right w:w="75" w:type="dxa"/>
            </w:tcMar>
          </w:tcPr>
          <w:p>
            <w:pPr>
              <w:spacing w:after="40" w:before="40"/>
            </w:pPr>
            <w:r>
              <w:rPr>
                <w:b w:val="0"/>
                <w:sz w:val="18"/>
              </w:rPr>
              <w:t>x8</w:t>
            </w:r>
          </w:p>
        </w:tc>
        <w:tc>
          <w:tcPr>
            <w:tcW w:type="dxa" w:w="5669"/>
            <w:vAlign w:val="center"/>
            <w:shd w:fill="F7F8F9"/>
            <w:tcMar>
              <w:top w:w="75" w:type="dxa"/>
              <w:bottom w:w="75" w:type="dxa"/>
              <w:left w:w="75" w:type="dxa"/>
              <w:right w:w="75" w:type="dxa"/>
            </w:tcMar>
          </w:tcPr>
          <w:p>
            <w:pPr>
              <w:spacing w:after="40" w:before="40"/>
            </w:pPr>
            <w:r>
              <w:rPr>
                <w:b w:val="0"/>
                <w:sz w:val="18"/>
              </w:rPr>
              <w:t>Opponent clean-sheet rate: fraction of opponent’s last 10 prior internationals with zero goals conceded.</w:t>
            </w:r>
          </w:p>
        </w:tc>
        <w:tc>
          <w:tcPr>
            <w:tcW w:type="dxa" w:w="3572"/>
            <w:vAlign w:val="center"/>
            <w:shd w:fill="F7F8F9"/>
            <w:tcMar>
              <w:top w:w="75" w:type="dxa"/>
              <w:bottom w:w="75" w:type="dxa"/>
              <w:left w:w="75" w:type="dxa"/>
              <w:right w:w="75" w:type="dxa"/>
            </w:tcMar>
          </w:tcPr>
          <w:p>
            <w:pPr>
              <w:spacing w:after="40" w:before="40"/>
            </w:pPr>
            <w:r>
              <w:rPr>
                <w:b w:val="0"/>
                <w:sz w:val="18"/>
              </w:rPr>
              <w:t>Frequency of defensive shutouts; expected negative slope.</w:t>
            </w:r>
          </w:p>
        </w:tc>
      </w:tr>
    </w:tbl>
    <w:p>
      <w:pPr>
        <w:spacing w:after="0"/>
      </w:pPr>
    </w:p>
    <w:p>
      <w:pPr>
        <w:pStyle w:val="Heading2"/>
      </w:pPr>
      <w:r>
        <w:t>Checking the overlap rule</w:t>
      </w:r>
    </w:p>
    <w:p>
      <w:r>
        <w:t>The models share exactly four underlying predictor concepts: Elo difference, rest difference, home advantage and competitive share. Competitive share is conservatively counted as shared even though Regression 2.1 uses a difference and Regression 2.2 uses the team’s level. Renaming or re-expressing a variable is not treated as making it new.</w:t>
      </w:r>
    </w:p>
    <w:p>
      <w:r>
        <w:t>Regression 2.1 uniquely uses win rate, draw rate, World Cup experience and head-to-head balance. Regression 2.2 uniquely uses mean goals scored, opponent mean goals conceded, failure-to-score rate and opponent clean-sheet rate. These are different summaries and forecasting mechanisms, although some naturally use the same historical score records. Goals means describe magnitude; zero-goal frequencies describe how often attacks fail or defences shut out opponents.</w:t>
      </w:r>
    </w:p>
    <w:p>
      <w:pPr>
        <w:pStyle w:val="Heading2"/>
      </w:pPr>
      <w:r>
        <w:t>Descriptive context</w:t>
      </w:r>
    </w:p>
    <w:p>
      <w:r>
        <w:t>Across all 208 rows, team goals average 1.481 with sample SD 1.393, median 1 and range 0–7. The team’s prior scoring mean averages 1.877, while the opponent’s prior concession mean averages 0.971. These differences reflect different populations of opponents and fixtures; they are not quantities expected to equal tournament scoring. Elo difference, rest difference and home advantage each average zero across the paired dataset by construction.</w:t>
      </w:r>
    </w:p>
    <w:p>
      <w:pPr>
        <w:pStyle w:val="Heading1"/>
        <w:pageBreakBefore/>
      </w:pPr>
      <w:r>
        <w:t>Regression 2 2 estimation and interpretation</w:t>
      </w:r>
    </w:p>
    <w:p>
      <w:r>
        <w:t>The team-goals model uses the same 85 development matches, yielding 170 rows. Ordinary least squares again estimates eight slopes and an intercept. Goals are discrete and nonnegative, but linear regression is fitted as required by the task. Its prediction G represents an estimated conditional mean; it need not be an integer.</w:t>
      </w:r>
    </w:p>
    <w:p>
      <m:oMath>
        <m:r>
          <m:t>G = 0.3615 + 0.3597x1 + 0.0480x2 + 0.7755x3 + 1.0288x4</m:t>
        </m:r>
      </m:oMath>
    </w:p>
    <w:p>
      <m:oMath>
        <m:r>
          <m:t>                      + 0.1915x5 + 0.2211x6 + 0.2790x7 − 0.1589x8</m:t>
        </m:r>
      </m:oMath>
    </w:p>
    <w:p>
      <w:r>
        <w:t>Training R² is 0.314 and adjusted R² is 0.280. The confidence intervals below use standard errors clustered by match, allowing the two team residuals within the same fixture to be correlated. This changes the uncertainty calculation, not the OLS coefficient estimates. There are 85 training match clusters.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984"/>
        <w:gridCol w:w="4535"/>
        <w:gridCol w:w="1984"/>
      </w:tblGrid>
      <w:tr>
        <w:trPr>
          <w:cantSplit/>
          <w:tblHeader/>
        </w:trPr>
        <w:tc>
          <w:tcPr>
            <w:tcW w:type="dxa" w:w="1361"/>
            <w:vAlign w:val="center"/>
            <w:shd w:fill="E8EDF1"/>
            <w:tcMar>
              <w:top w:w="75" w:type="dxa"/>
              <w:bottom w:w="75" w:type="dxa"/>
              <w:left w:w="75" w:type="dxa"/>
              <w:right w:w="75" w:type="dxa"/>
            </w:tcMar>
          </w:tcPr>
          <w:p>
            <w:pPr>
              <w:spacing w:after="40" w:before="40"/>
            </w:pPr>
            <w:r>
              <w:rPr>
                <w:b/>
                <w:sz w:val="18"/>
              </w:rPr>
              <w:t>Term</w:t>
            </w:r>
          </w:p>
        </w:tc>
        <w:tc>
          <w:tcPr>
            <w:tcW w:type="dxa" w:w="1984"/>
            <w:vAlign w:val="center"/>
            <w:shd w:fill="E8EDF1"/>
            <w:tcMar>
              <w:top w:w="75" w:type="dxa"/>
              <w:bottom w:w="75" w:type="dxa"/>
              <w:left w:w="75" w:type="dxa"/>
              <w:right w:w="75" w:type="dxa"/>
            </w:tcMar>
          </w:tcPr>
          <w:p>
            <w:pPr>
              <w:spacing w:after="40" w:before="40"/>
            </w:pPr>
            <w:r>
              <w:rPr>
                <w:b/>
                <w:sz w:val="18"/>
              </w:rPr>
              <w:t>Coefficient</w:t>
            </w:r>
          </w:p>
        </w:tc>
        <w:tc>
          <w:tcPr>
            <w:tcW w:type="dxa" w:w="4535"/>
            <w:vAlign w:val="center"/>
            <w:shd w:fill="E8EDF1"/>
            <w:tcMar>
              <w:top w:w="75" w:type="dxa"/>
              <w:bottom w:w="75" w:type="dxa"/>
              <w:left w:w="75" w:type="dxa"/>
              <w:right w:w="75" w:type="dxa"/>
            </w:tcMar>
          </w:tcPr>
          <w:p>
            <w:pPr>
              <w:spacing w:after="40" w:before="40"/>
            </w:pPr>
            <w:r>
              <w:rPr>
                <w:b/>
                <w:sz w:val="18"/>
              </w:rPr>
              <w:t>95% confidence interval</w:t>
            </w:r>
          </w:p>
        </w:tc>
        <w:tc>
          <w:tcPr>
            <w:tcW w:type="dxa" w:w="1984"/>
            <w:vAlign w:val="center"/>
            <w:shd w:fill="E8EDF1"/>
            <w:tcMar>
              <w:top w:w="75" w:type="dxa"/>
              <w:bottom w:w="75" w:type="dxa"/>
              <w:left w:w="75" w:type="dxa"/>
              <w:right w:w="75" w:type="dxa"/>
            </w:tcMar>
          </w:tcPr>
          <w:p>
            <w:pPr>
              <w:spacing w:after="40" w:before="40"/>
            </w:pPr>
            <w:r>
              <w:rPr>
                <w:b/>
                <w:sz w:val="18"/>
              </w:rPr>
              <w:t>p value</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Intercept</w:t>
            </w:r>
          </w:p>
        </w:tc>
        <w:tc>
          <w:tcPr>
            <w:tcW w:type="dxa" w:w="1984"/>
            <w:vAlign w:val="center"/>
            <w:shd w:fill="FFFFFF"/>
            <w:tcMar>
              <w:top w:w="75" w:type="dxa"/>
              <w:bottom w:w="75" w:type="dxa"/>
              <w:left w:w="75" w:type="dxa"/>
              <w:right w:w="75" w:type="dxa"/>
            </w:tcMar>
          </w:tcPr>
          <w:p>
            <w:pPr>
              <w:spacing w:after="40" w:before="40"/>
            </w:pPr>
            <w:r>
              <w:rPr>
                <w:b w:val="0"/>
                <w:sz w:val="18"/>
              </w:rPr>
              <w:t>0.3615</w:t>
            </w:r>
          </w:p>
        </w:tc>
        <w:tc>
          <w:tcPr>
            <w:tcW w:type="dxa" w:w="4535"/>
            <w:vAlign w:val="center"/>
            <w:shd w:fill="FFFFFF"/>
            <w:tcMar>
              <w:top w:w="75" w:type="dxa"/>
              <w:bottom w:w="75" w:type="dxa"/>
              <w:left w:w="75" w:type="dxa"/>
              <w:right w:w="75" w:type="dxa"/>
            </w:tcMar>
          </w:tcPr>
          <w:p>
            <w:pPr>
              <w:spacing w:after="40" w:before="40"/>
            </w:pPr>
            <w:r>
              <w:rPr>
                <w:b w:val="0"/>
                <w:sz w:val="18"/>
              </w:rPr>
              <w:t>-1.537 to 2.260</w:t>
            </w:r>
          </w:p>
        </w:tc>
        <w:tc>
          <w:tcPr>
            <w:tcW w:type="dxa" w:w="1984"/>
            <w:vAlign w:val="center"/>
            <w:shd w:fill="FFFFFF"/>
            <w:tcMar>
              <w:top w:w="75" w:type="dxa"/>
              <w:bottom w:w="75" w:type="dxa"/>
              <w:left w:w="75" w:type="dxa"/>
              <w:right w:w="75" w:type="dxa"/>
            </w:tcMar>
          </w:tcPr>
          <w:p>
            <w:pPr>
              <w:spacing w:after="40" w:before="40"/>
            </w:pPr>
            <w:r>
              <w:rPr>
                <w:b w:val="0"/>
                <w:sz w:val="18"/>
              </w:rPr>
              <w:t>0.706</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x1</w:t>
            </w:r>
          </w:p>
        </w:tc>
        <w:tc>
          <w:tcPr>
            <w:tcW w:type="dxa" w:w="1984"/>
            <w:vAlign w:val="center"/>
            <w:shd w:fill="F7F8F9"/>
            <w:tcMar>
              <w:top w:w="75" w:type="dxa"/>
              <w:bottom w:w="75" w:type="dxa"/>
              <w:left w:w="75" w:type="dxa"/>
              <w:right w:w="75" w:type="dxa"/>
            </w:tcMar>
          </w:tcPr>
          <w:p>
            <w:pPr>
              <w:spacing w:after="40" w:before="40"/>
            </w:pPr>
            <w:r>
              <w:rPr>
                <w:b w:val="0"/>
                <w:sz w:val="18"/>
              </w:rPr>
              <w:t>0.3597</w:t>
            </w:r>
          </w:p>
        </w:tc>
        <w:tc>
          <w:tcPr>
            <w:tcW w:type="dxa" w:w="4535"/>
            <w:vAlign w:val="center"/>
            <w:shd w:fill="F7F8F9"/>
            <w:tcMar>
              <w:top w:w="75" w:type="dxa"/>
              <w:bottom w:w="75" w:type="dxa"/>
              <w:left w:w="75" w:type="dxa"/>
              <w:right w:w="75" w:type="dxa"/>
            </w:tcMar>
          </w:tcPr>
          <w:p>
            <w:pPr>
              <w:spacing w:after="40" w:before="40"/>
            </w:pPr>
            <w:r>
              <w:rPr>
                <w:b w:val="0"/>
                <w:sz w:val="18"/>
              </w:rPr>
              <w:t>0.193 to 0.526</w:t>
            </w:r>
          </w:p>
        </w:tc>
        <w:tc>
          <w:tcPr>
            <w:tcW w:type="dxa" w:w="1984"/>
            <w:vAlign w:val="center"/>
            <w:shd w:fill="F7F8F9"/>
            <w:tcMar>
              <w:top w:w="75" w:type="dxa"/>
              <w:bottom w:w="75" w:type="dxa"/>
              <w:left w:w="75" w:type="dxa"/>
              <w:right w:w="75" w:type="dxa"/>
            </w:tcMar>
          </w:tcPr>
          <w:p>
            <w:pPr>
              <w:spacing w:after="40" w:before="40"/>
            </w:pPr>
            <w:r>
              <w:rPr>
                <w:b w:val="0"/>
                <w:sz w:val="18"/>
              </w:rPr>
              <w:t>&lt;0.001</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x2</w:t>
            </w:r>
          </w:p>
        </w:tc>
        <w:tc>
          <w:tcPr>
            <w:tcW w:type="dxa" w:w="1984"/>
            <w:vAlign w:val="center"/>
            <w:shd w:fill="FFFFFF"/>
            <w:tcMar>
              <w:top w:w="75" w:type="dxa"/>
              <w:bottom w:w="75" w:type="dxa"/>
              <w:left w:w="75" w:type="dxa"/>
              <w:right w:w="75" w:type="dxa"/>
            </w:tcMar>
          </w:tcPr>
          <w:p>
            <w:pPr>
              <w:spacing w:after="40" w:before="40"/>
            </w:pPr>
            <w:r>
              <w:rPr>
                <w:b w:val="0"/>
                <w:sz w:val="18"/>
              </w:rPr>
              <w:t>0.0480</w:t>
            </w:r>
          </w:p>
        </w:tc>
        <w:tc>
          <w:tcPr>
            <w:tcW w:type="dxa" w:w="4535"/>
            <w:vAlign w:val="center"/>
            <w:shd w:fill="FFFFFF"/>
            <w:tcMar>
              <w:top w:w="75" w:type="dxa"/>
              <w:bottom w:w="75" w:type="dxa"/>
              <w:left w:w="75" w:type="dxa"/>
              <w:right w:w="75" w:type="dxa"/>
            </w:tcMar>
          </w:tcPr>
          <w:p>
            <w:pPr>
              <w:spacing w:after="40" w:before="40"/>
            </w:pPr>
            <w:r>
              <w:rPr>
                <w:b w:val="0"/>
                <w:sz w:val="18"/>
              </w:rPr>
              <w:t>-0.065 to 0.161</w:t>
            </w:r>
          </w:p>
        </w:tc>
        <w:tc>
          <w:tcPr>
            <w:tcW w:type="dxa" w:w="1984"/>
            <w:vAlign w:val="center"/>
            <w:shd w:fill="FFFFFF"/>
            <w:tcMar>
              <w:top w:w="75" w:type="dxa"/>
              <w:bottom w:w="75" w:type="dxa"/>
              <w:left w:w="75" w:type="dxa"/>
              <w:right w:w="75" w:type="dxa"/>
            </w:tcMar>
          </w:tcPr>
          <w:p>
            <w:pPr>
              <w:spacing w:after="40" w:before="40"/>
            </w:pPr>
            <w:r>
              <w:rPr>
                <w:b w:val="0"/>
                <w:sz w:val="18"/>
              </w:rPr>
              <w:t>0.399</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x3</w:t>
            </w:r>
          </w:p>
        </w:tc>
        <w:tc>
          <w:tcPr>
            <w:tcW w:type="dxa" w:w="1984"/>
            <w:vAlign w:val="center"/>
            <w:shd w:fill="F7F8F9"/>
            <w:tcMar>
              <w:top w:w="75" w:type="dxa"/>
              <w:bottom w:w="75" w:type="dxa"/>
              <w:left w:w="75" w:type="dxa"/>
              <w:right w:w="75" w:type="dxa"/>
            </w:tcMar>
          </w:tcPr>
          <w:p>
            <w:pPr>
              <w:spacing w:after="40" w:before="40"/>
            </w:pPr>
            <w:r>
              <w:rPr>
                <w:b w:val="0"/>
                <w:sz w:val="18"/>
              </w:rPr>
              <w:t>0.7755</w:t>
            </w:r>
          </w:p>
        </w:tc>
        <w:tc>
          <w:tcPr>
            <w:tcW w:type="dxa" w:w="4535"/>
            <w:vAlign w:val="center"/>
            <w:shd w:fill="F7F8F9"/>
            <w:tcMar>
              <w:top w:w="75" w:type="dxa"/>
              <w:bottom w:w="75" w:type="dxa"/>
              <w:left w:w="75" w:type="dxa"/>
              <w:right w:w="75" w:type="dxa"/>
            </w:tcMar>
          </w:tcPr>
          <w:p>
            <w:pPr>
              <w:spacing w:after="40" w:before="40"/>
            </w:pPr>
            <w:r>
              <w:rPr>
                <w:b w:val="0"/>
                <w:sz w:val="18"/>
              </w:rPr>
              <w:t>0.262 to 1.288</w:t>
            </w:r>
          </w:p>
        </w:tc>
        <w:tc>
          <w:tcPr>
            <w:tcW w:type="dxa" w:w="1984"/>
            <w:vAlign w:val="center"/>
            <w:shd w:fill="F7F8F9"/>
            <w:tcMar>
              <w:top w:w="75" w:type="dxa"/>
              <w:bottom w:w="75" w:type="dxa"/>
              <w:left w:w="75" w:type="dxa"/>
              <w:right w:w="75" w:type="dxa"/>
            </w:tcMar>
          </w:tcPr>
          <w:p>
            <w:pPr>
              <w:spacing w:after="40" w:before="40"/>
            </w:pPr>
            <w:r>
              <w:rPr>
                <w:b w:val="0"/>
                <w:sz w:val="18"/>
              </w:rPr>
              <w:t>0.003</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x4</w:t>
            </w:r>
          </w:p>
        </w:tc>
        <w:tc>
          <w:tcPr>
            <w:tcW w:type="dxa" w:w="1984"/>
            <w:vAlign w:val="center"/>
            <w:shd w:fill="FFFFFF"/>
            <w:tcMar>
              <w:top w:w="75" w:type="dxa"/>
              <w:bottom w:w="75" w:type="dxa"/>
              <w:left w:w="75" w:type="dxa"/>
              <w:right w:w="75" w:type="dxa"/>
            </w:tcMar>
          </w:tcPr>
          <w:p>
            <w:pPr>
              <w:spacing w:after="40" w:before="40"/>
            </w:pPr>
            <w:r>
              <w:rPr>
                <w:b w:val="0"/>
                <w:sz w:val="18"/>
              </w:rPr>
              <w:t>1.0288</w:t>
            </w:r>
          </w:p>
        </w:tc>
        <w:tc>
          <w:tcPr>
            <w:tcW w:type="dxa" w:w="4535"/>
            <w:vAlign w:val="center"/>
            <w:shd w:fill="FFFFFF"/>
            <w:tcMar>
              <w:top w:w="75" w:type="dxa"/>
              <w:bottom w:w="75" w:type="dxa"/>
              <w:left w:w="75" w:type="dxa"/>
              <w:right w:w="75" w:type="dxa"/>
            </w:tcMar>
          </w:tcPr>
          <w:p>
            <w:pPr>
              <w:spacing w:after="40" w:before="40"/>
            </w:pPr>
            <w:r>
              <w:rPr>
                <w:b w:val="0"/>
                <w:sz w:val="18"/>
              </w:rPr>
              <w:t>-0.277 to 2.334</w:t>
            </w:r>
          </w:p>
        </w:tc>
        <w:tc>
          <w:tcPr>
            <w:tcW w:type="dxa" w:w="1984"/>
            <w:vAlign w:val="center"/>
            <w:shd w:fill="FFFFFF"/>
            <w:tcMar>
              <w:top w:w="75" w:type="dxa"/>
              <w:bottom w:w="75" w:type="dxa"/>
              <w:left w:w="75" w:type="dxa"/>
              <w:right w:w="75" w:type="dxa"/>
            </w:tcMar>
          </w:tcPr>
          <w:p>
            <w:pPr>
              <w:spacing w:after="40" w:before="40"/>
            </w:pPr>
            <w:r>
              <w:rPr>
                <w:b w:val="0"/>
                <w:sz w:val="18"/>
              </w:rPr>
              <w:t>0.121</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x5</w:t>
            </w:r>
          </w:p>
        </w:tc>
        <w:tc>
          <w:tcPr>
            <w:tcW w:type="dxa" w:w="1984"/>
            <w:vAlign w:val="center"/>
            <w:shd w:fill="F7F8F9"/>
            <w:tcMar>
              <w:top w:w="75" w:type="dxa"/>
              <w:bottom w:w="75" w:type="dxa"/>
              <w:left w:w="75" w:type="dxa"/>
              <w:right w:w="75" w:type="dxa"/>
            </w:tcMar>
          </w:tcPr>
          <w:p>
            <w:pPr>
              <w:spacing w:after="40" w:before="40"/>
            </w:pPr>
            <w:r>
              <w:rPr>
                <w:b w:val="0"/>
                <w:sz w:val="18"/>
              </w:rPr>
              <w:t>0.1915</w:t>
            </w:r>
          </w:p>
        </w:tc>
        <w:tc>
          <w:tcPr>
            <w:tcW w:type="dxa" w:w="4535"/>
            <w:vAlign w:val="center"/>
            <w:shd w:fill="F7F8F9"/>
            <w:tcMar>
              <w:top w:w="75" w:type="dxa"/>
              <w:bottom w:w="75" w:type="dxa"/>
              <w:left w:w="75" w:type="dxa"/>
              <w:right w:w="75" w:type="dxa"/>
            </w:tcMar>
          </w:tcPr>
          <w:p>
            <w:pPr>
              <w:spacing w:after="40" w:before="40"/>
            </w:pPr>
            <w:r>
              <w:rPr>
                <w:b w:val="0"/>
                <w:sz w:val="18"/>
              </w:rPr>
              <w:t>-0.310 to 0.693</w:t>
            </w:r>
          </w:p>
        </w:tc>
        <w:tc>
          <w:tcPr>
            <w:tcW w:type="dxa" w:w="1984"/>
            <w:vAlign w:val="center"/>
            <w:shd w:fill="F7F8F9"/>
            <w:tcMar>
              <w:top w:w="75" w:type="dxa"/>
              <w:bottom w:w="75" w:type="dxa"/>
              <w:left w:w="75" w:type="dxa"/>
              <w:right w:w="75" w:type="dxa"/>
            </w:tcMar>
          </w:tcPr>
          <w:p>
            <w:pPr>
              <w:spacing w:after="40" w:before="40"/>
            </w:pPr>
            <w:r>
              <w:rPr>
                <w:b w:val="0"/>
                <w:sz w:val="18"/>
              </w:rPr>
              <w:t>0.450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x6</w:t>
            </w:r>
          </w:p>
        </w:tc>
        <w:tc>
          <w:tcPr>
            <w:tcW w:type="dxa" w:w="1984"/>
            <w:vAlign w:val="center"/>
            <w:shd w:fill="FFFFFF"/>
            <w:tcMar>
              <w:top w:w="75" w:type="dxa"/>
              <w:bottom w:w="75" w:type="dxa"/>
              <w:left w:w="75" w:type="dxa"/>
              <w:right w:w="75" w:type="dxa"/>
            </w:tcMar>
          </w:tcPr>
          <w:p>
            <w:pPr>
              <w:spacing w:after="40" w:before="40"/>
            </w:pPr>
            <w:r>
              <w:rPr>
                <w:b w:val="0"/>
                <w:sz w:val="18"/>
              </w:rPr>
              <w:t>0.2211</w:t>
            </w:r>
          </w:p>
        </w:tc>
        <w:tc>
          <w:tcPr>
            <w:tcW w:type="dxa" w:w="4535"/>
            <w:vAlign w:val="center"/>
            <w:shd w:fill="FFFFFF"/>
            <w:tcMar>
              <w:top w:w="75" w:type="dxa"/>
              <w:bottom w:w="75" w:type="dxa"/>
              <w:left w:w="75" w:type="dxa"/>
              <w:right w:w="75" w:type="dxa"/>
            </w:tcMar>
          </w:tcPr>
          <w:p>
            <w:pPr>
              <w:spacing w:after="40" w:before="40"/>
            </w:pPr>
            <w:r>
              <w:rPr>
                <w:b w:val="0"/>
                <w:sz w:val="18"/>
              </w:rPr>
              <w:t>-0.537 to 0.979</w:t>
            </w:r>
          </w:p>
        </w:tc>
        <w:tc>
          <w:tcPr>
            <w:tcW w:type="dxa" w:w="1984"/>
            <w:vAlign w:val="center"/>
            <w:shd w:fill="FFFFFF"/>
            <w:tcMar>
              <w:top w:w="75" w:type="dxa"/>
              <w:bottom w:w="75" w:type="dxa"/>
              <w:left w:w="75" w:type="dxa"/>
              <w:right w:w="75" w:type="dxa"/>
            </w:tcMar>
          </w:tcPr>
          <w:p>
            <w:pPr>
              <w:spacing w:after="40" w:before="40"/>
            </w:pPr>
            <w:r>
              <w:rPr>
                <w:b w:val="0"/>
                <w:sz w:val="18"/>
              </w:rPr>
              <w:t>0.563</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x7</w:t>
            </w:r>
          </w:p>
        </w:tc>
        <w:tc>
          <w:tcPr>
            <w:tcW w:type="dxa" w:w="1984"/>
            <w:vAlign w:val="center"/>
            <w:shd w:fill="F7F8F9"/>
            <w:tcMar>
              <w:top w:w="75" w:type="dxa"/>
              <w:bottom w:w="75" w:type="dxa"/>
              <w:left w:w="75" w:type="dxa"/>
              <w:right w:w="75" w:type="dxa"/>
            </w:tcMar>
          </w:tcPr>
          <w:p>
            <w:pPr>
              <w:spacing w:after="40" w:before="40"/>
            </w:pPr>
            <w:r>
              <w:rPr>
                <w:b w:val="0"/>
                <w:sz w:val="18"/>
              </w:rPr>
              <w:t>0.2790</w:t>
            </w:r>
          </w:p>
        </w:tc>
        <w:tc>
          <w:tcPr>
            <w:tcW w:type="dxa" w:w="4535"/>
            <w:vAlign w:val="center"/>
            <w:shd w:fill="F7F8F9"/>
            <w:tcMar>
              <w:top w:w="75" w:type="dxa"/>
              <w:bottom w:w="75" w:type="dxa"/>
              <w:left w:w="75" w:type="dxa"/>
              <w:right w:w="75" w:type="dxa"/>
            </w:tcMar>
          </w:tcPr>
          <w:p>
            <w:pPr>
              <w:spacing w:after="40" w:before="40"/>
            </w:pPr>
            <w:r>
              <w:rPr>
                <w:b w:val="0"/>
                <w:sz w:val="18"/>
              </w:rPr>
              <w:t>-1.719 to 2.277</w:t>
            </w:r>
          </w:p>
        </w:tc>
        <w:tc>
          <w:tcPr>
            <w:tcW w:type="dxa" w:w="1984"/>
            <w:vAlign w:val="center"/>
            <w:shd w:fill="F7F8F9"/>
            <w:tcMar>
              <w:top w:w="75" w:type="dxa"/>
              <w:bottom w:w="75" w:type="dxa"/>
              <w:left w:w="75" w:type="dxa"/>
              <w:right w:w="75" w:type="dxa"/>
            </w:tcMar>
          </w:tcPr>
          <w:p>
            <w:pPr>
              <w:spacing w:after="40" w:before="40"/>
            </w:pPr>
            <w:r>
              <w:rPr>
                <w:b w:val="0"/>
                <w:sz w:val="18"/>
              </w:rPr>
              <w:t>0.782</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x8</w:t>
            </w:r>
          </w:p>
        </w:tc>
        <w:tc>
          <w:tcPr>
            <w:tcW w:type="dxa" w:w="1984"/>
            <w:vAlign w:val="center"/>
            <w:shd w:fill="FFFFFF"/>
            <w:tcMar>
              <w:top w:w="75" w:type="dxa"/>
              <w:bottom w:w="75" w:type="dxa"/>
              <w:left w:w="75" w:type="dxa"/>
              <w:right w:w="75" w:type="dxa"/>
            </w:tcMar>
          </w:tcPr>
          <w:p>
            <w:pPr>
              <w:spacing w:after="40" w:before="40"/>
            </w:pPr>
            <w:r>
              <w:rPr>
                <w:b w:val="0"/>
                <w:sz w:val="18"/>
              </w:rPr>
              <w:t>-0.1589</w:t>
            </w:r>
          </w:p>
        </w:tc>
        <w:tc>
          <w:tcPr>
            <w:tcW w:type="dxa" w:w="4535"/>
            <w:vAlign w:val="center"/>
            <w:shd w:fill="FFFFFF"/>
            <w:tcMar>
              <w:top w:w="75" w:type="dxa"/>
              <w:bottom w:w="75" w:type="dxa"/>
              <w:left w:w="75" w:type="dxa"/>
              <w:right w:w="75" w:type="dxa"/>
            </w:tcMar>
          </w:tcPr>
          <w:p>
            <w:pPr>
              <w:spacing w:after="40" w:before="40"/>
            </w:pPr>
            <w:r>
              <w:rPr>
                <w:b w:val="0"/>
                <w:sz w:val="18"/>
              </w:rPr>
              <w:t>-1.874 to 1.556</w:t>
            </w:r>
          </w:p>
        </w:tc>
        <w:tc>
          <w:tcPr>
            <w:tcW w:type="dxa" w:w="1984"/>
            <w:vAlign w:val="center"/>
            <w:shd w:fill="FFFFFF"/>
            <w:tcMar>
              <w:top w:w="75" w:type="dxa"/>
              <w:bottom w:w="75" w:type="dxa"/>
              <w:left w:w="75" w:type="dxa"/>
              <w:right w:w="75" w:type="dxa"/>
            </w:tcMar>
          </w:tcPr>
          <w:p>
            <w:pPr>
              <w:spacing w:after="40" w:before="40"/>
            </w:pPr>
            <w:r>
              <w:rPr>
                <w:b w:val="0"/>
                <w:sz w:val="18"/>
              </w:rPr>
              <w:t>0.854</w:t>
            </w:r>
          </w:p>
        </w:tc>
      </w:tr>
    </w:tbl>
    <w:p>
      <w:pPr>
        <w:spacing w:after="0"/>
      </w:pPr>
    </w:p>
    <w:p>
      <w:r>
        <w:t>The robust joint F statistic is 9.095 with p &lt; 0.001. A 100-point Elo advantage corresponds to 0.360 additional predicted goals, holding the other predictors constant (95% CI 0.193 to 0.526). This is the clearest estimated independent association in the model.</w:t>
      </w:r>
    </w:p>
    <w:p>
      <w:r>
        <w:t>Playing in the team’s own country rather than at a neutral venue corresponds to 0.775 more predicted goals (95% CI 0.263 to 1.288). Because the coding is −1, 0, +1, moving from the opponent’s home country to the team’s own country spans two units. This coefficient is supported by few host-team fixtures and combines location with omitted contextual factors; it should not be interpreted as a universal causal home effect.</w:t>
      </w:r>
    </w:p>
    <w:p>
      <w:r>
        <w:t>An increase of one in the team’s prior average goals corresponds to 0.192 more predicted goals, but its confidence interval spans −0.310 to 0.693. The prior zero-scoring rate unexpectedly has a positive fitted slope. Its wide interval includes both signs, so there is no evidence that failing to score helps future attacks. Correlated attack summaries and limited data can reverse conditional coefficients.</w:t>
      </w:r>
    </w:p>
    <w:p>
      <w:r>
        <w:t>Proportion predictors must be interpreted on their actual scale: a ten-percentage-point change equals 0.10 predictor units. P values are exploratory and unadjusted. Match clustering does not account fully for dependence between separate matches involving the same teams.</w:t>
      </w:r>
    </w:p>
    <w:p>
      <w:pPr>
        <w:pStyle w:val="Heading1"/>
        <w:pageBreakBefore/>
      </w:pPr>
      <w:r>
        <w:t>Regression 2 2 predictive evaluation</w:t>
      </w:r>
    </w:p>
    <w:p>
      <w:r>
        <w:t>Evaluation uses 38 team rows from the same 19 held-out matches as Regression 2.1. Splitting individual team rows randomly would allow one side of a match into training and its opponent into testing; this would misrepresent performance on unseen matches. The chronological match-level split prevents that problem.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43"/>
        <w:gridCol w:w="1474"/>
        <w:gridCol w:w="1474"/>
        <w:gridCol w:w="1474"/>
      </w:tblGrid>
      <w:tr>
        <w:trPr>
          <w:cantSplit/>
          <w:tblHeader/>
        </w:trPr>
        <w:tc>
          <w:tcPr>
            <w:tcW w:type="dxa" w:w="5443"/>
            <w:vAlign w:val="center"/>
            <w:shd w:fill="E8EDF1"/>
            <w:tcMar>
              <w:top w:w="75" w:type="dxa"/>
              <w:bottom w:w="75" w:type="dxa"/>
              <w:left w:w="75" w:type="dxa"/>
              <w:right w:w="75" w:type="dxa"/>
            </w:tcMar>
          </w:tcPr>
          <w:p>
            <w:pPr>
              <w:spacing w:after="40" w:before="40"/>
            </w:pPr>
            <w:r>
              <w:rPr>
                <w:b/>
                <w:sz w:val="18"/>
              </w:rPr>
              <w:t>Holdout method</w:t>
            </w:r>
          </w:p>
        </w:tc>
        <w:tc>
          <w:tcPr>
            <w:tcW w:type="dxa" w:w="1474"/>
            <w:vAlign w:val="center"/>
            <w:shd w:fill="E8EDF1"/>
            <w:tcMar>
              <w:top w:w="75" w:type="dxa"/>
              <w:bottom w:w="75" w:type="dxa"/>
              <w:left w:w="75" w:type="dxa"/>
              <w:right w:w="75" w:type="dxa"/>
            </w:tcMar>
          </w:tcPr>
          <w:p>
            <w:pPr>
              <w:spacing w:after="40" w:before="40"/>
            </w:pPr>
            <w:r>
              <w:rPr>
                <w:b/>
                <w:sz w:val="18"/>
              </w:rPr>
              <w:t>MAE</w:t>
            </w:r>
          </w:p>
        </w:tc>
        <w:tc>
          <w:tcPr>
            <w:tcW w:type="dxa" w:w="1474"/>
            <w:vAlign w:val="center"/>
            <w:shd w:fill="E8EDF1"/>
            <w:tcMar>
              <w:top w:w="75" w:type="dxa"/>
              <w:bottom w:w="75" w:type="dxa"/>
              <w:left w:w="75" w:type="dxa"/>
              <w:right w:w="75" w:type="dxa"/>
            </w:tcMar>
          </w:tcPr>
          <w:p>
            <w:pPr>
              <w:spacing w:after="40" w:before="40"/>
            </w:pPr>
            <w:r>
              <w:rPr>
                <w:b/>
                <w:sz w:val="18"/>
              </w:rPr>
              <w:t>RMSE</w:t>
            </w:r>
          </w:p>
        </w:tc>
        <w:tc>
          <w:tcPr>
            <w:tcW w:type="dxa" w:w="1474"/>
            <w:vAlign w:val="center"/>
            <w:shd w:fill="E8EDF1"/>
            <w:tcMar>
              <w:top w:w="75" w:type="dxa"/>
              <w:bottom w:w="75" w:type="dxa"/>
              <w:left w:w="75" w:type="dxa"/>
              <w:right w:w="75" w:type="dxa"/>
            </w:tcMar>
          </w:tcPr>
          <w:p>
            <w:pPr>
              <w:spacing w:after="40" w:before="40"/>
            </w:pPr>
            <w:r>
              <w:rPr>
                <w:b/>
                <w:sz w:val="18"/>
              </w:rPr>
              <w:t>R²</w:t>
            </w:r>
          </w:p>
        </w:tc>
      </w:tr>
      <w:tr>
        <w:trPr>
          <w:cantSplit/>
        </w:trPr>
        <w:tc>
          <w:tcPr>
            <w:tcW w:type="dxa" w:w="5443"/>
            <w:vAlign w:val="center"/>
            <w:shd w:fill="FFFFFF"/>
            <w:tcMar>
              <w:top w:w="75" w:type="dxa"/>
              <w:bottom w:w="75" w:type="dxa"/>
              <w:left w:w="75" w:type="dxa"/>
              <w:right w:w="75" w:type="dxa"/>
            </w:tcMar>
          </w:tcPr>
          <w:p>
            <w:pPr>
              <w:spacing w:after="40" w:before="40"/>
            </w:pPr>
            <w:r>
              <w:rPr>
                <w:b w:val="0"/>
                <w:sz w:val="18"/>
              </w:rPr>
              <w:t>OLS eight predictors</w:t>
            </w:r>
          </w:p>
        </w:tc>
        <w:tc>
          <w:tcPr>
            <w:tcW w:type="dxa" w:w="1474"/>
            <w:vAlign w:val="center"/>
            <w:shd w:fill="FFFFFF"/>
            <w:tcMar>
              <w:top w:w="75" w:type="dxa"/>
              <w:bottom w:w="75" w:type="dxa"/>
              <w:left w:w="75" w:type="dxa"/>
              <w:right w:w="75" w:type="dxa"/>
            </w:tcMar>
          </w:tcPr>
          <w:p>
            <w:pPr>
              <w:spacing w:after="40" w:before="40"/>
            </w:pPr>
            <w:r>
              <w:rPr>
                <w:b w:val="0"/>
                <w:sz w:val="18"/>
              </w:rPr>
              <w:t>0.971</w:t>
            </w:r>
          </w:p>
        </w:tc>
        <w:tc>
          <w:tcPr>
            <w:tcW w:type="dxa" w:w="1474"/>
            <w:vAlign w:val="center"/>
            <w:shd w:fill="FFFFFF"/>
            <w:tcMar>
              <w:top w:w="75" w:type="dxa"/>
              <w:bottom w:w="75" w:type="dxa"/>
              <w:left w:w="75" w:type="dxa"/>
              <w:right w:w="75" w:type="dxa"/>
            </w:tcMar>
          </w:tcPr>
          <w:p>
            <w:pPr>
              <w:spacing w:after="40" w:before="40"/>
            </w:pPr>
            <w:r>
              <w:rPr>
                <w:b w:val="0"/>
                <w:sz w:val="18"/>
              </w:rPr>
              <w:t>1.335</w:t>
            </w:r>
          </w:p>
        </w:tc>
        <w:tc>
          <w:tcPr>
            <w:tcW w:type="dxa" w:w="1474"/>
            <w:vAlign w:val="center"/>
            <w:shd w:fill="FFFFFF"/>
            <w:tcMar>
              <w:top w:w="75" w:type="dxa"/>
              <w:bottom w:w="75" w:type="dxa"/>
              <w:left w:w="75" w:type="dxa"/>
              <w:right w:w="75" w:type="dxa"/>
            </w:tcMar>
          </w:tcPr>
          <w:p>
            <w:pPr>
              <w:spacing w:after="40" w:before="40"/>
            </w:pPr>
            <w:r>
              <w:rPr>
                <w:b w:val="0"/>
                <w:sz w:val="18"/>
              </w:rPr>
              <w:t>0.024</w:t>
            </w:r>
          </w:p>
        </w:tc>
      </w:tr>
      <w:tr>
        <w:trPr>
          <w:cantSplit/>
        </w:trPr>
        <w:tc>
          <w:tcPr>
            <w:tcW w:type="dxa" w:w="5443"/>
            <w:vAlign w:val="center"/>
            <w:shd w:fill="F7F8F9"/>
            <w:tcMar>
              <w:top w:w="75" w:type="dxa"/>
              <w:bottom w:w="75" w:type="dxa"/>
              <w:left w:w="75" w:type="dxa"/>
              <w:right w:w="75" w:type="dxa"/>
            </w:tcMar>
          </w:tcPr>
          <w:p>
            <w:pPr>
              <w:spacing w:after="40" w:before="40"/>
            </w:pPr>
            <w:r>
              <w:rPr>
                <w:b w:val="0"/>
                <w:sz w:val="18"/>
              </w:rPr>
              <w:t>Training mean baseline</w:t>
            </w:r>
          </w:p>
        </w:tc>
        <w:tc>
          <w:tcPr>
            <w:tcW w:type="dxa" w:w="1474"/>
            <w:vAlign w:val="center"/>
            <w:shd w:fill="F7F8F9"/>
            <w:tcMar>
              <w:top w:w="75" w:type="dxa"/>
              <w:bottom w:w="75" w:type="dxa"/>
              <w:left w:w="75" w:type="dxa"/>
              <w:right w:w="75" w:type="dxa"/>
            </w:tcMar>
          </w:tcPr>
          <w:p>
            <w:pPr>
              <w:spacing w:after="40" w:before="40"/>
            </w:pPr>
            <w:r>
              <w:rPr>
                <w:b w:val="0"/>
                <w:sz w:val="18"/>
              </w:rPr>
              <w:t>1.075</w:t>
            </w:r>
          </w:p>
        </w:tc>
        <w:tc>
          <w:tcPr>
            <w:tcW w:type="dxa" w:w="1474"/>
            <w:vAlign w:val="center"/>
            <w:shd w:fill="F7F8F9"/>
            <w:tcMar>
              <w:top w:w="75" w:type="dxa"/>
              <w:bottom w:w="75" w:type="dxa"/>
              <w:left w:w="75" w:type="dxa"/>
              <w:right w:w="75" w:type="dxa"/>
            </w:tcMar>
          </w:tcPr>
          <w:p>
            <w:pPr>
              <w:spacing w:after="40" w:before="40"/>
            </w:pPr>
            <w:r>
              <w:rPr>
                <w:b w:val="0"/>
                <w:sz w:val="18"/>
              </w:rPr>
              <w:t>1.354</w:t>
            </w:r>
          </w:p>
        </w:tc>
        <w:tc>
          <w:tcPr>
            <w:tcW w:type="dxa" w:w="1474"/>
            <w:vAlign w:val="center"/>
            <w:shd w:fill="F7F8F9"/>
            <w:tcMar>
              <w:top w:w="75" w:type="dxa"/>
              <w:bottom w:w="75" w:type="dxa"/>
              <w:left w:w="75" w:type="dxa"/>
              <w:right w:w="75" w:type="dxa"/>
            </w:tcMar>
          </w:tcPr>
          <w:p>
            <w:pPr>
              <w:spacing w:after="40" w:before="40"/>
            </w:pPr>
            <w:r>
              <w:rPr>
                <w:b w:val="0"/>
                <w:sz w:val="18"/>
              </w:rPr>
              <w:t>-0.004</w:t>
            </w:r>
          </w:p>
        </w:tc>
      </w:tr>
      <w:tr>
        <w:trPr>
          <w:cantSplit/>
        </w:trPr>
        <w:tc>
          <w:tcPr>
            <w:tcW w:type="dxa" w:w="5443"/>
            <w:vAlign w:val="center"/>
            <w:shd w:fill="FFFFFF"/>
            <w:tcMar>
              <w:top w:w="75" w:type="dxa"/>
              <w:bottom w:w="75" w:type="dxa"/>
              <w:left w:w="75" w:type="dxa"/>
              <w:right w:w="75" w:type="dxa"/>
            </w:tcMar>
          </w:tcPr>
          <w:p>
            <w:pPr>
              <w:spacing w:after="40" w:before="40"/>
            </w:pPr>
            <w:r>
              <w:rPr>
                <w:b w:val="0"/>
                <w:sz w:val="18"/>
              </w:rPr>
              <w:t>Elo only baseline</w:t>
            </w:r>
          </w:p>
        </w:tc>
        <w:tc>
          <w:tcPr>
            <w:tcW w:type="dxa" w:w="1474"/>
            <w:vAlign w:val="center"/>
            <w:shd w:fill="FFFFFF"/>
            <w:tcMar>
              <w:top w:w="75" w:type="dxa"/>
              <w:bottom w:w="75" w:type="dxa"/>
              <w:left w:w="75" w:type="dxa"/>
              <w:right w:w="75" w:type="dxa"/>
            </w:tcMar>
          </w:tcPr>
          <w:p>
            <w:pPr>
              <w:spacing w:after="40" w:before="40"/>
            </w:pPr>
            <w:r>
              <w:rPr>
                <w:b w:val="0"/>
                <w:sz w:val="18"/>
              </w:rPr>
              <w:t>0.946</w:t>
            </w:r>
          </w:p>
        </w:tc>
        <w:tc>
          <w:tcPr>
            <w:tcW w:type="dxa" w:w="1474"/>
            <w:vAlign w:val="center"/>
            <w:shd w:fill="FFFFFF"/>
            <w:tcMar>
              <w:top w:w="75" w:type="dxa"/>
              <w:bottom w:w="75" w:type="dxa"/>
              <w:left w:w="75" w:type="dxa"/>
              <w:right w:w="75" w:type="dxa"/>
            </w:tcMar>
          </w:tcPr>
          <w:p>
            <w:pPr>
              <w:spacing w:after="40" w:before="40"/>
            </w:pPr>
            <w:r>
              <w:rPr>
                <w:b w:val="0"/>
                <w:sz w:val="18"/>
              </w:rPr>
              <w:t>1.316</w:t>
            </w:r>
          </w:p>
        </w:tc>
        <w:tc>
          <w:tcPr>
            <w:tcW w:type="dxa" w:w="1474"/>
            <w:vAlign w:val="center"/>
            <w:shd w:fill="FFFFFF"/>
            <w:tcMar>
              <w:top w:w="75" w:type="dxa"/>
              <w:bottom w:w="75" w:type="dxa"/>
              <w:left w:w="75" w:type="dxa"/>
              <w:right w:w="75" w:type="dxa"/>
            </w:tcMar>
          </w:tcPr>
          <w:p>
            <w:pPr>
              <w:spacing w:after="40" w:before="40"/>
            </w:pPr>
            <w:r>
              <w:rPr>
                <w:b w:val="0"/>
                <w:sz w:val="18"/>
              </w:rPr>
              <w:t>0.052</w:t>
            </w:r>
          </w:p>
        </w:tc>
      </w:tr>
    </w:tbl>
    <w:p>
      <w:pPr>
        <w:spacing w:after="0"/>
      </w:pPr>
    </w:p>
    <w:p>
      <w:r>
        <w:t>The eight-predictor model’s MAE is 0.971 goals, compared with 1.075 for the training-mean baseline: an improvement of 9.7%. Its RMSE improves by only 1.4%, from 1.354 to 1.335. Held-out R² is 0.024, meaning little of the held-out variation is captured. The Elo-only regression performs better, with MAE 0.946 and RMSE 1.316. Additional explanatory variables therefore do not demonstrate added predictive value in this holdout.</w:t>
      </w:r>
    </w:p>
    <w:p>
      <w:pPr>
        <w:pStyle w:val="Heading2"/>
      </w:pPr>
      <w:r>
        <w:t>Development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835"/>
        <w:gridCol w:w="1928"/>
        <w:gridCol w:w="2494"/>
        <w:gridCol w:w="1928"/>
      </w:tblGrid>
      <w:tr>
        <w:trPr>
          <w:cantSplit/>
          <w:tblHeader/>
        </w:trPr>
        <w:tc>
          <w:tcPr>
            <w:tcW w:type="dxa" w:w="680"/>
            <w:vAlign w:val="center"/>
            <w:shd w:fill="E8EDF1"/>
            <w:tcMar>
              <w:top w:w="75" w:type="dxa"/>
              <w:bottom w:w="75" w:type="dxa"/>
              <w:left w:w="75" w:type="dxa"/>
              <w:right w:w="75" w:type="dxa"/>
            </w:tcMar>
          </w:tcPr>
          <w:p>
            <w:pPr>
              <w:spacing w:after="40" w:before="40"/>
            </w:pPr>
            <w:r>
              <w:rPr>
                <w:b/>
                <w:sz w:val="18"/>
              </w:rPr>
              <w:t>Fold</w:t>
            </w:r>
          </w:p>
        </w:tc>
        <w:tc>
          <w:tcPr>
            <w:tcW w:type="dxa" w:w="2835"/>
            <w:vAlign w:val="center"/>
            <w:shd w:fill="E8EDF1"/>
            <w:tcMar>
              <w:top w:w="75" w:type="dxa"/>
              <w:bottom w:w="75" w:type="dxa"/>
              <w:left w:w="75" w:type="dxa"/>
              <w:right w:w="75" w:type="dxa"/>
            </w:tcMar>
          </w:tcPr>
          <w:p>
            <w:pPr>
              <w:spacing w:after="40" w:before="40"/>
            </w:pPr>
            <w:r>
              <w:rPr>
                <w:b/>
                <w:sz w:val="18"/>
              </w:rPr>
              <w:t>Train / validation matches</w:t>
            </w:r>
          </w:p>
        </w:tc>
        <w:tc>
          <w:tcPr>
            <w:tcW w:type="dxa" w:w="1928"/>
            <w:vAlign w:val="center"/>
            <w:shd w:fill="E8EDF1"/>
            <w:tcMar>
              <w:top w:w="75" w:type="dxa"/>
              <w:bottom w:w="75" w:type="dxa"/>
              <w:left w:w="75" w:type="dxa"/>
              <w:right w:w="75" w:type="dxa"/>
            </w:tcMar>
          </w:tcPr>
          <w:p>
            <w:pPr>
              <w:spacing w:after="40" w:before="40"/>
            </w:pPr>
            <w:r>
              <w:rPr>
                <w:b/>
                <w:sz w:val="18"/>
              </w:rPr>
              <w:t>OLS MAE</w:t>
            </w:r>
          </w:p>
        </w:tc>
        <w:tc>
          <w:tcPr>
            <w:tcW w:type="dxa" w:w="2494"/>
            <w:vAlign w:val="center"/>
            <w:shd w:fill="E8EDF1"/>
            <w:tcMar>
              <w:top w:w="75" w:type="dxa"/>
              <w:bottom w:w="75" w:type="dxa"/>
              <w:left w:w="75" w:type="dxa"/>
              <w:right w:w="75" w:type="dxa"/>
            </w:tcMar>
          </w:tcPr>
          <w:p>
            <w:pPr>
              <w:spacing w:after="40" w:before="40"/>
            </w:pPr>
            <w:r>
              <w:rPr>
                <w:b/>
                <w:sz w:val="18"/>
              </w:rPr>
              <w:t>Mean baseline MAE</w:t>
            </w:r>
          </w:p>
        </w:tc>
        <w:tc>
          <w:tcPr>
            <w:tcW w:type="dxa" w:w="1928"/>
            <w:vAlign w:val="center"/>
            <w:shd w:fill="E8EDF1"/>
            <w:tcMar>
              <w:top w:w="75" w:type="dxa"/>
              <w:bottom w:w="75" w:type="dxa"/>
              <w:left w:w="75" w:type="dxa"/>
              <w:right w:w="75" w:type="dxa"/>
            </w:tcMar>
          </w:tcPr>
          <w:p>
            <w:pPr>
              <w:spacing w:after="40" w:before="40"/>
            </w:pPr>
            <w:r>
              <w:rPr>
                <w:b/>
                <w:sz w:val="18"/>
              </w:rPr>
              <w:t>OLS R²</w:t>
            </w:r>
          </w:p>
        </w:tc>
      </w:tr>
      <w:tr>
        <w:trPr>
          <w:cantSplit/>
        </w:trPr>
        <w:tc>
          <w:tcPr>
            <w:tcW w:type="dxa" w:w="680"/>
            <w:vAlign w:val="center"/>
            <w:shd w:fill="FFFFFF"/>
            <w:tcMar>
              <w:top w:w="75" w:type="dxa"/>
              <w:bottom w:w="75" w:type="dxa"/>
              <w:left w:w="75" w:type="dxa"/>
              <w:right w:w="75" w:type="dxa"/>
            </w:tcMar>
          </w:tcPr>
          <w:p>
            <w:pPr>
              <w:spacing w:after="40" w:before="40"/>
            </w:pPr>
            <w:r>
              <w:rPr>
                <w:b w:val="0"/>
                <w:sz w:val="18"/>
              </w:rPr>
              <w:t>1</w:t>
            </w:r>
          </w:p>
        </w:tc>
        <w:tc>
          <w:tcPr>
            <w:tcW w:type="dxa" w:w="2835"/>
            <w:vAlign w:val="center"/>
            <w:shd w:fill="FFFFFF"/>
            <w:tcMar>
              <w:top w:w="75" w:type="dxa"/>
              <w:bottom w:w="75" w:type="dxa"/>
              <w:left w:w="75" w:type="dxa"/>
              <w:right w:w="75" w:type="dxa"/>
            </w:tcMar>
          </w:tcPr>
          <w:p>
            <w:pPr>
              <w:spacing w:after="40" w:before="40"/>
            </w:pPr>
            <w:r>
              <w:rPr>
                <w:b w:val="0"/>
                <w:sz w:val="18"/>
              </w:rPr>
              <w:t>20 / 24</w:t>
            </w:r>
          </w:p>
        </w:tc>
        <w:tc>
          <w:tcPr>
            <w:tcW w:type="dxa" w:w="1928"/>
            <w:vAlign w:val="center"/>
            <w:shd w:fill="FFFFFF"/>
            <w:tcMar>
              <w:top w:w="75" w:type="dxa"/>
              <w:bottom w:w="75" w:type="dxa"/>
              <w:left w:w="75" w:type="dxa"/>
              <w:right w:w="75" w:type="dxa"/>
            </w:tcMar>
          </w:tcPr>
          <w:p>
            <w:pPr>
              <w:spacing w:after="40" w:before="40"/>
            </w:pPr>
            <w:r>
              <w:rPr>
                <w:b w:val="0"/>
                <w:sz w:val="18"/>
              </w:rPr>
              <w:t>1.086</w:t>
            </w:r>
          </w:p>
        </w:tc>
        <w:tc>
          <w:tcPr>
            <w:tcW w:type="dxa" w:w="2494"/>
            <w:vAlign w:val="center"/>
            <w:shd w:fill="FFFFFF"/>
            <w:tcMar>
              <w:top w:w="75" w:type="dxa"/>
              <w:bottom w:w="75" w:type="dxa"/>
              <w:left w:w="75" w:type="dxa"/>
              <w:right w:w="75" w:type="dxa"/>
            </w:tcMar>
          </w:tcPr>
          <w:p>
            <w:pPr>
              <w:spacing w:after="40" w:before="40"/>
            </w:pPr>
            <w:r>
              <w:rPr>
                <w:b w:val="0"/>
                <w:sz w:val="18"/>
              </w:rPr>
              <w:t>1.240</w:t>
            </w:r>
          </w:p>
        </w:tc>
        <w:tc>
          <w:tcPr>
            <w:tcW w:type="dxa" w:w="1928"/>
            <w:vAlign w:val="center"/>
            <w:shd w:fill="FFFFFF"/>
            <w:tcMar>
              <w:top w:w="75" w:type="dxa"/>
              <w:bottom w:w="75" w:type="dxa"/>
              <w:left w:w="75" w:type="dxa"/>
              <w:right w:w="75" w:type="dxa"/>
            </w:tcMar>
          </w:tcPr>
          <w:p>
            <w:pPr>
              <w:spacing w:after="40" w:before="40"/>
            </w:pPr>
            <w:r>
              <w:rPr>
                <w:b w:val="0"/>
                <w:sz w:val="18"/>
              </w:rPr>
              <w:t>0.059</w:t>
            </w:r>
          </w:p>
        </w:tc>
      </w:tr>
      <w:tr>
        <w:trPr>
          <w:cantSplit/>
        </w:trPr>
        <w:tc>
          <w:tcPr>
            <w:tcW w:type="dxa" w:w="680"/>
            <w:vAlign w:val="center"/>
            <w:shd w:fill="F7F8F9"/>
            <w:tcMar>
              <w:top w:w="75" w:type="dxa"/>
              <w:bottom w:w="75" w:type="dxa"/>
              <w:left w:w="75" w:type="dxa"/>
              <w:right w:w="75" w:type="dxa"/>
            </w:tcMar>
          </w:tcPr>
          <w:p>
            <w:pPr>
              <w:spacing w:after="40" w:before="40"/>
            </w:pPr>
            <w:r>
              <w:rPr>
                <w:b w:val="0"/>
                <w:sz w:val="18"/>
              </w:rPr>
              <w:t>2</w:t>
            </w:r>
          </w:p>
        </w:tc>
        <w:tc>
          <w:tcPr>
            <w:tcW w:type="dxa" w:w="2835"/>
            <w:vAlign w:val="center"/>
            <w:shd w:fill="F7F8F9"/>
            <w:tcMar>
              <w:top w:w="75" w:type="dxa"/>
              <w:bottom w:w="75" w:type="dxa"/>
              <w:left w:w="75" w:type="dxa"/>
              <w:right w:w="75" w:type="dxa"/>
            </w:tcMar>
          </w:tcPr>
          <w:p>
            <w:pPr>
              <w:spacing w:after="40" w:before="40"/>
            </w:pPr>
            <w:r>
              <w:rPr>
                <w:b w:val="0"/>
                <w:sz w:val="18"/>
              </w:rPr>
              <w:t>44 / 28</w:t>
            </w:r>
          </w:p>
        </w:tc>
        <w:tc>
          <w:tcPr>
            <w:tcW w:type="dxa" w:w="1928"/>
            <w:vAlign w:val="center"/>
            <w:shd w:fill="F7F8F9"/>
            <w:tcMar>
              <w:top w:w="75" w:type="dxa"/>
              <w:bottom w:w="75" w:type="dxa"/>
              <w:left w:w="75" w:type="dxa"/>
              <w:right w:w="75" w:type="dxa"/>
            </w:tcMar>
          </w:tcPr>
          <w:p>
            <w:pPr>
              <w:spacing w:after="40" w:before="40"/>
            </w:pPr>
            <w:r>
              <w:rPr>
                <w:b w:val="0"/>
                <w:sz w:val="18"/>
              </w:rPr>
              <w:t>1.026</w:t>
            </w:r>
          </w:p>
        </w:tc>
        <w:tc>
          <w:tcPr>
            <w:tcW w:type="dxa" w:w="2494"/>
            <w:vAlign w:val="center"/>
            <w:shd w:fill="F7F8F9"/>
            <w:tcMar>
              <w:top w:w="75" w:type="dxa"/>
              <w:bottom w:w="75" w:type="dxa"/>
              <w:left w:w="75" w:type="dxa"/>
              <w:right w:w="75" w:type="dxa"/>
            </w:tcMar>
          </w:tcPr>
          <w:p>
            <w:pPr>
              <w:spacing w:after="40" w:before="40"/>
            </w:pPr>
            <w:r>
              <w:rPr>
                <w:b w:val="0"/>
                <w:sz w:val="18"/>
              </w:rPr>
              <w:t>1.220</w:t>
            </w:r>
          </w:p>
        </w:tc>
        <w:tc>
          <w:tcPr>
            <w:tcW w:type="dxa" w:w="1928"/>
            <w:vAlign w:val="center"/>
            <w:shd w:fill="F7F8F9"/>
            <w:tcMar>
              <w:top w:w="75" w:type="dxa"/>
              <w:bottom w:w="75" w:type="dxa"/>
              <w:left w:w="75" w:type="dxa"/>
              <w:right w:w="75" w:type="dxa"/>
            </w:tcMar>
          </w:tcPr>
          <w:p>
            <w:pPr>
              <w:spacing w:after="40" w:before="40"/>
            </w:pPr>
            <w:r>
              <w:rPr>
                <w:b w:val="0"/>
                <w:sz w:val="18"/>
              </w:rPr>
              <w:t>0.248</w:t>
            </w:r>
          </w:p>
        </w:tc>
      </w:tr>
      <w:tr>
        <w:trPr>
          <w:cantSplit/>
        </w:trPr>
        <w:tc>
          <w:tcPr>
            <w:tcW w:type="dxa" w:w="680"/>
            <w:vAlign w:val="center"/>
            <w:shd w:fill="FFFFFF"/>
            <w:tcMar>
              <w:top w:w="75" w:type="dxa"/>
              <w:bottom w:w="75" w:type="dxa"/>
              <w:left w:w="75" w:type="dxa"/>
              <w:right w:w="75" w:type="dxa"/>
            </w:tcMar>
          </w:tcPr>
          <w:p>
            <w:pPr>
              <w:spacing w:after="40" w:before="40"/>
            </w:pPr>
            <w:r>
              <w:rPr>
                <w:b w:val="0"/>
                <w:sz w:val="18"/>
              </w:rPr>
              <w:t>3</w:t>
            </w:r>
          </w:p>
        </w:tc>
        <w:tc>
          <w:tcPr>
            <w:tcW w:type="dxa" w:w="2835"/>
            <w:vAlign w:val="center"/>
            <w:shd w:fill="FFFFFF"/>
            <w:tcMar>
              <w:top w:w="75" w:type="dxa"/>
              <w:bottom w:w="75" w:type="dxa"/>
              <w:left w:w="75" w:type="dxa"/>
              <w:right w:w="75" w:type="dxa"/>
            </w:tcMar>
          </w:tcPr>
          <w:p>
            <w:pPr>
              <w:spacing w:after="40" w:before="40"/>
            </w:pPr>
            <w:r>
              <w:rPr>
                <w:b w:val="0"/>
                <w:sz w:val="18"/>
              </w:rPr>
              <w:t>72 / 13</w:t>
            </w:r>
          </w:p>
        </w:tc>
        <w:tc>
          <w:tcPr>
            <w:tcW w:type="dxa" w:w="1928"/>
            <w:vAlign w:val="center"/>
            <w:shd w:fill="FFFFFF"/>
            <w:tcMar>
              <w:top w:w="75" w:type="dxa"/>
              <w:bottom w:w="75" w:type="dxa"/>
              <w:left w:w="75" w:type="dxa"/>
              <w:right w:w="75" w:type="dxa"/>
            </w:tcMar>
          </w:tcPr>
          <w:p>
            <w:pPr>
              <w:spacing w:after="40" w:before="40"/>
            </w:pPr>
            <w:r>
              <w:rPr>
                <w:b w:val="0"/>
                <w:sz w:val="18"/>
              </w:rPr>
              <w:t>0.597</w:t>
            </w:r>
          </w:p>
        </w:tc>
        <w:tc>
          <w:tcPr>
            <w:tcW w:type="dxa" w:w="2494"/>
            <w:vAlign w:val="center"/>
            <w:shd w:fill="FFFFFF"/>
            <w:tcMar>
              <w:top w:w="75" w:type="dxa"/>
              <w:bottom w:w="75" w:type="dxa"/>
              <w:left w:w="75" w:type="dxa"/>
              <w:right w:w="75" w:type="dxa"/>
            </w:tcMar>
          </w:tcPr>
          <w:p>
            <w:pPr>
              <w:spacing w:after="40" w:before="40"/>
            </w:pPr>
            <w:r>
              <w:rPr>
                <w:b w:val="0"/>
                <w:sz w:val="18"/>
              </w:rPr>
              <w:t>0.845</w:t>
            </w:r>
          </w:p>
        </w:tc>
        <w:tc>
          <w:tcPr>
            <w:tcW w:type="dxa" w:w="1928"/>
            <w:vAlign w:val="center"/>
            <w:shd w:fill="FFFFFF"/>
            <w:tcMar>
              <w:top w:w="75" w:type="dxa"/>
              <w:bottom w:w="75" w:type="dxa"/>
              <w:left w:w="75" w:type="dxa"/>
              <w:right w:w="75" w:type="dxa"/>
            </w:tcMar>
          </w:tcPr>
          <w:p>
            <w:pPr>
              <w:spacing w:after="40" w:before="40"/>
            </w:pPr>
            <w:r>
              <w:rPr>
                <w:b w:val="0"/>
                <w:sz w:val="18"/>
              </w:rPr>
              <w:t>0.431</w:t>
            </w:r>
          </w:p>
        </w:tc>
      </w:tr>
    </w:tbl>
    <w:p>
      <w:pPr>
        <w:spacing w:after="0"/>
      </w:pPr>
    </w:p>
    <w:p>
      <w:r>
        <w:t>The full model beats the mean baseline in all three development folds, but those estimates do not guarantee later performance. The final holdout includes high-scoring observations and a different mix of strong teams. The 19-match holdout is small; its 38 rows do not constitute 38 independent fixtures.</w:t>
      </w:r>
    </w:p>
    <w:p>
      <w:pPr>
        <w:pStyle w:val="Heading2"/>
      </w:pPr>
      <w:r>
        <w:t>Uncertainty and practical errors</w:t>
      </w:r>
    </w:p>
    <w:p>
      <w:r>
        <w:t>Resampling entire matches preserves the pairing of team rows. Across 3,000 bootstrap replicates, the approximate conditional 95% MAE interval is 0.692–1.314 goals. The interval for improvement over the training-mean baseline is −0.019 to 0.224 goals, which includes zero. Repeated teams across fixtures and the fixed-coefficient bootstrap limit the scope of this interval.</w:t>
      </w:r>
    </w:p>
    <w:p>
      <w:r>
        <w:t>In the third-place match, England scored six goals but the model predicted 1.354. In the final, it predicted 1.488 for Spain and 1.643 for Argentina, while the observed goals were one and zero. These examples show regression toward typical scoring levels and difficulty capturing extreme outcomes or individual-match events. They are taken directly from the saved holdout predictions, not chosen to demonstrate only successes.</w:t>
      </w:r>
    </w:p>
    <w:p>
      <w:r>
        <w:t>All 38 held-out predictions are nonnegative. A separately labelled sensitivity check clipping predictions at zero therefore leaves the holdout metrics unchanged. Scores are not rounded before evaluation: rounding would discard information and change the quantity being assessed. Linear regression still permits negative predictions elsewhere and supplies no natural count distribution.</w:t>
      </w:r>
    </w:p>
    <w:p>
      <w:pPr>
        <w:pStyle w:val="Heading1"/>
        <w:pageBreakBefore/>
      </w:pPr>
      <w:r>
        <w:t>Regression 2 2 diagnostics and limitations</w:t>
      </w:r>
    </w:p>
    <w:p>
      <w:pPr>
        <w:keepNext/>
      </w:pPr>
      <w:r>
        <w:drawing>
          <wp:inline xmlns:a="http://schemas.openxmlformats.org/drawingml/2006/main" xmlns:pic="http://schemas.openxmlformats.org/drawingml/2006/picture">
            <wp:extent cx="6228000" cy="4380132"/>
            <wp:docPr id="2" name="Picture 2" descr="Regression diagnostics figure 2: residual versus fitted, normal Q-Q, held-out observed versus predicted, and Cook distance panels."/>
            <wp:cNvGraphicFramePr>
              <a:graphicFrameLocks noChangeAspect="1"/>
            </wp:cNvGraphicFramePr>
            <a:graphic>
              <a:graphicData uri="http://schemas.openxmlformats.org/drawingml/2006/picture">
                <pic:pic>
                  <pic:nvPicPr>
                    <pic:cNvPr id="0" name="diagnostics_2_2.png"/>
                    <pic:cNvPicPr/>
                  </pic:nvPicPr>
                  <pic:blipFill>
                    <a:blip r:embed="rId11"/>
                    <a:stretch>
                      <a:fillRect/>
                    </a:stretch>
                  </pic:blipFill>
                  <pic:spPr>
                    <a:xfrm>
                      <a:off x="0" y="0"/>
                      <a:ext cx="6228000" cy="4380132"/>
                    </a:xfrm>
                    <a:prstGeom prst="rect"/>
                  </pic:spPr>
                </pic:pic>
              </a:graphicData>
            </a:graphic>
          </wp:inline>
        </w:drawing>
      </w:r>
    </w:p>
    <w:p>
      <w:pPr>
        <w:pStyle w:val="Caption"/>
      </w:pPr>
      <w:r>
        <w:t>Figure 2. Python-generated training diagnostics and held-out predictions for Regression 2.2. Diagonal residual bands arise because goals are integer counts.</w:t>
      </w:r>
    </w:p>
    <w:p>
      <w:r>
        <w:t>The residual plot and Q-Q plot show asymmetry and departures in the tails. Breusch–Pagan p &lt; 0.001 indicates evidence of unequal residual variance, and Shapiro–Wilk p = 0.008 indicates departures from normality. These tests are descriptive diagnostics because within-match and repeated-team dependence complicate their nominal reference distributions. The findings are consistent with the limitations of a constant-variance Gaussian error model for goal counts.</w:t>
      </w:r>
    </w:p>
    <w:p>
      <w:r>
        <w:t>Clustered standard errors improve coefficient uncertainty reporting for the paired rows but do not make residuals normal, prevent negative predictions, or improve predictive accuracy. Classical normal-theory individual prediction intervals are therefore not reported as calibrated intervals. A Poisson or negative-binomial model would be a useful separately assessed extension, but neither replaces the linear regression required here.</w:t>
      </w:r>
    </w:p>
    <w:p>
      <w:r>
        <w:t>Maximum VIF is 3.307, so multicollinearity is less severe than in Regression 2.1, although scoring means and zero-goal frequencies share information. Eight training rows exceed Cook’s-distance screening threshold 4/170. The largest is Canada’s six-goal performance against Qatar in match M027. This is a verified outcome and remains in the primary analysis.</w:t>
      </w:r>
    </w:p>
    <w:p>
      <w:r>
        <w:t>Removing the whole influential training match, including both team rows, changes held-out MAE from 0.971 to 0.960 and RMSE from 1.335 to 1.319. The maximum prediction change is 0.176 goals. This is a sensitivity analysis, not a replacement selected for better test performance. Its limited impact does not resolve the main issue: even the primary model provides little improvement over simple forecasts.</w:t>
      </w:r>
    </w:p>
    <w:p>
      <w:r>
        <w:t>Unmodelled red cards, finishing randomness, injuries and tactical decisions help explain uncertainty. Current-match events cannot be added as predictors without violating the pre-match requirement. Pre-match availability, lineups and other archived context could be considered in a later study if they can be collected consistently for every match.</w:t>
      </w:r>
    </w:p>
    <w:p>
      <w:pPr>
        <w:pStyle w:val="Heading1"/>
        <w:pageBreakBefore/>
      </w:pPr>
      <w:r>
        <w:t>Comparison and conclusions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231"/>
        <w:gridCol w:w="3231"/>
      </w:tblGrid>
      <w:tr>
        <w:trPr>
          <w:cantSplit/>
          <w:tblHeader/>
        </w:trPr>
        <w:tc>
          <w:tcPr>
            <w:tcW w:type="dxa" w:w="3402"/>
            <w:vAlign w:val="center"/>
            <w:shd w:fill="E8EDF1"/>
            <w:tcMar>
              <w:top w:w="75" w:type="dxa"/>
              <w:bottom w:w="75" w:type="dxa"/>
              <w:left w:w="75" w:type="dxa"/>
              <w:right w:w="75" w:type="dxa"/>
            </w:tcMar>
          </w:tcPr>
          <w:p>
            <w:pPr>
              <w:spacing w:after="40" w:before="40"/>
            </w:pPr>
            <w:r>
              <w:rPr>
                <w:b/>
                <w:sz w:val="18"/>
              </w:rPr>
              <w:t>Assessment dimension</w:t>
            </w:r>
          </w:p>
        </w:tc>
        <w:tc>
          <w:tcPr>
            <w:tcW w:type="dxa" w:w="3231"/>
            <w:vAlign w:val="center"/>
            <w:shd w:fill="E8EDF1"/>
            <w:tcMar>
              <w:top w:w="75" w:type="dxa"/>
              <w:bottom w:w="75" w:type="dxa"/>
              <w:left w:w="75" w:type="dxa"/>
              <w:right w:w="75" w:type="dxa"/>
            </w:tcMar>
          </w:tcPr>
          <w:p>
            <w:pPr>
              <w:spacing w:after="40" w:before="40"/>
            </w:pPr>
            <w:r>
              <w:rPr>
                <w:b/>
                <w:sz w:val="18"/>
              </w:rPr>
              <w:t>Regression 2.1</w:t>
            </w:r>
          </w:p>
        </w:tc>
        <w:tc>
          <w:tcPr>
            <w:tcW w:type="dxa" w:w="3231"/>
            <w:vAlign w:val="center"/>
            <w:shd w:fill="E8EDF1"/>
            <w:tcMar>
              <w:top w:w="75" w:type="dxa"/>
              <w:bottom w:w="75" w:type="dxa"/>
              <w:left w:w="75" w:type="dxa"/>
              <w:right w:w="75" w:type="dxa"/>
            </w:tcMar>
          </w:tcPr>
          <w:p>
            <w:pPr>
              <w:spacing w:after="40" w:before="40"/>
            </w:pPr>
            <w:r>
              <w:rPr>
                <w:b/>
                <w:sz w:val="18"/>
              </w:rPr>
              <w:t>Regression 2.2</w:t>
            </w:r>
          </w:p>
        </w:tc>
      </w:tr>
      <w:tr>
        <w:trPr>
          <w:cantSplit/>
        </w:trPr>
        <w:tc>
          <w:tcPr>
            <w:tcW w:type="dxa" w:w="3402"/>
            <w:vAlign w:val="center"/>
            <w:shd w:fill="FFFFFF"/>
            <w:tcMar>
              <w:top w:w="75" w:type="dxa"/>
              <w:bottom w:w="75" w:type="dxa"/>
              <w:left w:w="75" w:type="dxa"/>
              <w:right w:w="75" w:type="dxa"/>
            </w:tcMar>
          </w:tcPr>
          <w:p>
            <w:pPr>
              <w:spacing w:after="40" w:before="40"/>
            </w:pPr>
            <w:r>
              <w:rPr>
                <w:b w:val="0"/>
                <w:sz w:val="18"/>
              </w:rPr>
              <w:t>Held-out MAE</w:t>
            </w:r>
          </w:p>
        </w:tc>
        <w:tc>
          <w:tcPr>
            <w:tcW w:type="dxa" w:w="3231"/>
            <w:vAlign w:val="center"/>
            <w:shd w:fill="FFFFFF"/>
            <w:tcMar>
              <w:top w:w="75" w:type="dxa"/>
              <w:bottom w:w="75" w:type="dxa"/>
              <w:left w:w="75" w:type="dxa"/>
              <w:right w:w="75" w:type="dxa"/>
            </w:tcMar>
          </w:tcPr>
          <w:p>
            <w:pPr>
              <w:spacing w:after="40" w:before="40"/>
            </w:pPr>
            <w:r>
              <w:rPr>
                <w:b w:val="0"/>
                <w:sz w:val="18"/>
              </w:rPr>
              <w:t>1.146 goal difference</w:t>
            </w:r>
          </w:p>
        </w:tc>
        <w:tc>
          <w:tcPr>
            <w:tcW w:type="dxa" w:w="3231"/>
            <w:vAlign w:val="center"/>
            <w:shd w:fill="FFFFFF"/>
            <w:tcMar>
              <w:top w:w="75" w:type="dxa"/>
              <w:bottom w:w="75" w:type="dxa"/>
              <w:left w:w="75" w:type="dxa"/>
              <w:right w:w="75" w:type="dxa"/>
            </w:tcMar>
          </w:tcPr>
          <w:p>
            <w:pPr>
              <w:spacing w:after="40" w:before="40"/>
            </w:pPr>
            <w:r>
              <w:rPr>
                <w:b w:val="0"/>
                <w:sz w:val="18"/>
              </w:rPr>
              <w:t>0.971 team goals</w:t>
            </w:r>
          </w:p>
        </w:tc>
      </w:tr>
      <w:tr>
        <w:trPr>
          <w:cantSplit/>
        </w:trPr>
        <w:tc>
          <w:tcPr>
            <w:tcW w:type="dxa" w:w="3402"/>
            <w:vAlign w:val="center"/>
            <w:shd w:fill="F7F8F9"/>
            <w:tcMar>
              <w:top w:w="75" w:type="dxa"/>
              <w:bottom w:w="75" w:type="dxa"/>
              <w:left w:w="75" w:type="dxa"/>
              <w:right w:w="75" w:type="dxa"/>
            </w:tcMar>
          </w:tcPr>
          <w:p>
            <w:pPr>
              <w:spacing w:after="40" w:before="40"/>
            </w:pPr>
            <w:r>
              <w:rPr>
                <w:b w:val="0"/>
                <w:sz w:val="18"/>
              </w:rPr>
              <w:t>Held-out RMSE</w:t>
            </w:r>
          </w:p>
        </w:tc>
        <w:tc>
          <w:tcPr>
            <w:tcW w:type="dxa" w:w="3231"/>
            <w:vAlign w:val="center"/>
            <w:shd w:fill="F7F8F9"/>
            <w:tcMar>
              <w:top w:w="75" w:type="dxa"/>
              <w:bottom w:w="75" w:type="dxa"/>
              <w:left w:w="75" w:type="dxa"/>
              <w:right w:w="75" w:type="dxa"/>
            </w:tcMar>
          </w:tcPr>
          <w:p>
            <w:pPr>
              <w:spacing w:after="40" w:before="40"/>
            </w:pPr>
            <w:r>
              <w:rPr>
                <w:b w:val="0"/>
                <w:sz w:val="18"/>
              </w:rPr>
              <w:t>1.395</w:t>
            </w:r>
          </w:p>
        </w:tc>
        <w:tc>
          <w:tcPr>
            <w:tcW w:type="dxa" w:w="3231"/>
            <w:vAlign w:val="center"/>
            <w:shd w:fill="F7F8F9"/>
            <w:tcMar>
              <w:top w:w="75" w:type="dxa"/>
              <w:bottom w:w="75" w:type="dxa"/>
              <w:left w:w="75" w:type="dxa"/>
              <w:right w:w="75" w:type="dxa"/>
            </w:tcMar>
          </w:tcPr>
          <w:p>
            <w:pPr>
              <w:spacing w:after="40" w:before="40"/>
            </w:pPr>
            <w:r>
              <w:rPr>
                <w:b w:val="0"/>
                <w:sz w:val="18"/>
              </w:rPr>
              <w:t>1.335</w:t>
            </w:r>
          </w:p>
        </w:tc>
      </w:tr>
      <w:tr>
        <w:trPr>
          <w:cantSplit/>
        </w:trPr>
        <w:tc>
          <w:tcPr>
            <w:tcW w:type="dxa" w:w="3402"/>
            <w:vAlign w:val="center"/>
            <w:shd w:fill="FFFFFF"/>
            <w:tcMar>
              <w:top w:w="75" w:type="dxa"/>
              <w:bottom w:w="75" w:type="dxa"/>
              <w:left w:w="75" w:type="dxa"/>
              <w:right w:w="75" w:type="dxa"/>
            </w:tcMar>
          </w:tcPr>
          <w:p>
            <w:pPr>
              <w:spacing w:after="40" w:before="40"/>
            </w:pPr>
            <w:r>
              <w:rPr>
                <w:b w:val="0"/>
                <w:sz w:val="18"/>
              </w:rPr>
              <w:t>Held-out R²</w:t>
            </w:r>
          </w:p>
        </w:tc>
        <w:tc>
          <w:tcPr>
            <w:tcW w:type="dxa" w:w="3231"/>
            <w:vAlign w:val="center"/>
            <w:shd w:fill="FFFFFF"/>
            <w:tcMar>
              <w:top w:w="75" w:type="dxa"/>
              <w:bottom w:w="75" w:type="dxa"/>
              <w:left w:w="75" w:type="dxa"/>
              <w:right w:w="75" w:type="dxa"/>
            </w:tcMar>
          </w:tcPr>
          <w:p>
            <w:pPr>
              <w:spacing w:after="40" w:before="40"/>
            </w:pPr>
            <w:r>
              <w:rPr>
                <w:b w:val="0"/>
                <w:sz w:val="18"/>
              </w:rPr>
              <w:t>0.128</w:t>
            </w:r>
          </w:p>
        </w:tc>
        <w:tc>
          <w:tcPr>
            <w:tcW w:type="dxa" w:w="3231"/>
            <w:vAlign w:val="center"/>
            <w:shd w:fill="FFFFFF"/>
            <w:tcMar>
              <w:top w:w="75" w:type="dxa"/>
              <w:bottom w:w="75" w:type="dxa"/>
              <w:left w:w="75" w:type="dxa"/>
              <w:right w:w="75" w:type="dxa"/>
            </w:tcMar>
          </w:tcPr>
          <w:p>
            <w:pPr>
              <w:spacing w:after="40" w:before="40"/>
            </w:pPr>
            <w:r>
              <w:rPr>
                <w:b w:val="0"/>
                <w:sz w:val="18"/>
              </w:rPr>
              <w:t>0.024</w:t>
            </w:r>
          </w:p>
        </w:tc>
      </w:tr>
      <w:tr>
        <w:trPr>
          <w:cantSplit/>
        </w:trPr>
        <w:tc>
          <w:tcPr>
            <w:tcW w:type="dxa" w:w="3402"/>
            <w:vAlign w:val="center"/>
            <w:shd w:fill="F7F8F9"/>
            <w:tcMar>
              <w:top w:w="75" w:type="dxa"/>
              <w:bottom w:w="75" w:type="dxa"/>
              <w:left w:w="75" w:type="dxa"/>
              <w:right w:w="75" w:type="dxa"/>
            </w:tcMar>
          </w:tcPr>
          <w:p>
            <w:pPr>
              <w:spacing w:after="40" w:before="40"/>
            </w:pPr>
            <w:r>
              <w:rPr>
                <w:b w:val="0"/>
                <w:sz w:val="18"/>
              </w:rPr>
              <w:t>Training adjusted R²</w:t>
            </w:r>
          </w:p>
        </w:tc>
        <w:tc>
          <w:tcPr>
            <w:tcW w:type="dxa" w:w="3231"/>
            <w:vAlign w:val="center"/>
            <w:shd w:fill="F7F8F9"/>
            <w:tcMar>
              <w:top w:w="75" w:type="dxa"/>
              <w:bottom w:w="75" w:type="dxa"/>
              <w:left w:w="75" w:type="dxa"/>
              <w:right w:w="75" w:type="dxa"/>
            </w:tcMar>
          </w:tcPr>
          <w:p>
            <w:pPr>
              <w:spacing w:after="40" w:before="40"/>
            </w:pPr>
            <w:r>
              <w:rPr>
                <w:b w:val="0"/>
                <w:sz w:val="18"/>
              </w:rPr>
              <w:t>0.454</w:t>
            </w:r>
          </w:p>
        </w:tc>
        <w:tc>
          <w:tcPr>
            <w:tcW w:type="dxa" w:w="3231"/>
            <w:vAlign w:val="center"/>
            <w:shd w:fill="F7F8F9"/>
            <w:tcMar>
              <w:top w:w="75" w:type="dxa"/>
              <w:bottom w:w="75" w:type="dxa"/>
              <w:left w:w="75" w:type="dxa"/>
              <w:right w:w="75" w:type="dxa"/>
            </w:tcMar>
          </w:tcPr>
          <w:p>
            <w:pPr>
              <w:spacing w:after="40" w:before="40"/>
            </w:pPr>
            <w:r>
              <w:rPr>
                <w:b w:val="0"/>
                <w:sz w:val="18"/>
              </w:rPr>
              <w:t>0.280</w:t>
            </w:r>
          </w:p>
        </w:tc>
      </w:tr>
      <w:tr>
        <w:trPr>
          <w:cantSplit/>
        </w:trPr>
        <w:tc>
          <w:tcPr>
            <w:tcW w:type="dxa" w:w="3402"/>
            <w:vAlign w:val="center"/>
            <w:shd w:fill="FFFFFF"/>
            <w:tcMar>
              <w:top w:w="75" w:type="dxa"/>
              <w:bottom w:w="75" w:type="dxa"/>
              <w:left w:w="75" w:type="dxa"/>
              <w:right w:w="75" w:type="dxa"/>
            </w:tcMar>
          </w:tcPr>
          <w:p>
            <w:pPr>
              <w:spacing w:after="40" w:before="40"/>
            </w:pPr>
            <w:r>
              <w:rPr>
                <w:b w:val="0"/>
                <w:sz w:val="18"/>
              </w:rPr>
              <w:t>Improvement over mean MAE</w:t>
            </w:r>
          </w:p>
        </w:tc>
        <w:tc>
          <w:tcPr>
            <w:tcW w:type="dxa" w:w="3231"/>
            <w:vAlign w:val="center"/>
            <w:shd w:fill="FFFFFF"/>
            <w:tcMar>
              <w:top w:w="75" w:type="dxa"/>
              <w:bottom w:w="75" w:type="dxa"/>
              <w:left w:w="75" w:type="dxa"/>
              <w:right w:w="75" w:type="dxa"/>
            </w:tcMar>
          </w:tcPr>
          <w:p>
            <w:pPr>
              <w:spacing w:after="40" w:before="40"/>
            </w:pPr>
            <w:r>
              <w:rPr>
                <w:b w:val="0"/>
                <w:sz w:val="18"/>
              </w:rPr>
              <w:t>23.2%</w:t>
            </w:r>
          </w:p>
        </w:tc>
        <w:tc>
          <w:tcPr>
            <w:tcW w:type="dxa" w:w="3231"/>
            <w:vAlign w:val="center"/>
            <w:shd w:fill="FFFFFF"/>
            <w:tcMar>
              <w:top w:w="75" w:type="dxa"/>
              <w:bottom w:w="75" w:type="dxa"/>
              <w:left w:w="75" w:type="dxa"/>
              <w:right w:w="75" w:type="dxa"/>
            </w:tcMar>
          </w:tcPr>
          <w:p>
            <w:pPr>
              <w:spacing w:after="40" w:before="40"/>
            </w:pPr>
            <w:r>
              <w:rPr>
                <w:b w:val="0"/>
                <w:sz w:val="18"/>
              </w:rPr>
              <w:t>9.7%</w:t>
            </w:r>
          </w:p>
        </w:tc>
      </w:tr>
      <w:tr>
        <w:trPr>
          <w:cantSplit/>
        </w:trPr>
        <w:tc>
          <w:tcPr>
            <w:tcW w:type="dxa" w:w="3402"/>
            <w:vAlign w:val="center"/>
            <w:shd w:fill="F7F8F9"/>
            <w:tcMar>
              <w:top w:w="75" w:type="dxa"/>
              <w:bottom w:w="75" w:type="dxa"/>
              <w:left w:w="75" w:type="dxa"/>
              <w:right w:w="75" w:type="dxa"/>
            </w:tcMar>
          </w:tcPr>
          <w:p>
            <w:pPr>
              <w:spacing w:after="40" w:before="40"/>
            </w:pPr>
            <w:r>
              <w:rPr>
                <w:b w:val="0"/>
                <w:sz w:val="18"/>
              </w:rPr>
              <w:t>Compared with Elo only</w:t>
            </w:r>
          </w:p>
        </w:tc>
        <w:tc>
          <w:tcPr>
            <w:tcW w:type="dxa" w:w="3231"/>
            <w:vAlign w:val="center"/>
            <w:shd w:fill="F7F8F9"/>
            <w:tcMar>
              <w:top w:w="75" w:type="dxa"/>
              <w:bottom w:w="75" w:type="dxa"/>
              <w:left w:w="75" w:type="dxa"/>
              <w:right w:w="75" w:type="dxa"/>
            </w:tcMar>
          </w:tcPr>
          <w:p>
            <w:pPr>
              <w:spacing w:after="40" w:before="40"/>
            </w:pPr>
            <w:r>
              <w:rPr>
                <w:b w:val="0"/>
                <w:sz w:val="18"/>
              </w:rPr>
              <w:t>Lower MAE and RMSE</w:t>
            </w:r>
          </w:p>
        </w:tc>
        <w:tc>
          <w:tcPr>
            <w:tcW w:type="dxa" w:w="3231"/>
            <w:vAlign w:val="center"/>
            <w:shd w:fill="F7F8F9"/>
            <w:tcMar>
              <w:top w:w="75" w:type="dxa"/>
              <w:bottom w:w="75" w:type="dxa"/>
              <w:left w:w="75" w:type="dxa"/>
              <w:right w:w="75" w:type="dxa"/>
            </w:tcMar>
          </w:tcPr>
          <w:p>
            <w:pPr>
              <w:spacing w:after="40" w:before="40"/>
            </w:pPr>
            <w:r>
              <w:rPr>
                <w:b w:val="0"/>
                <w:sz w:val="18"/>
              </w:rPr>
              <w:t>Higher MAE and RMSE</w:t>
            </w:r>
          </w:p>
        </w:tc>
      </w:tr>
      <w:tr>
        <w:trPr>
          <w:cantSplit/>
        </w:trPr>
        <w:tc>
          <w:tcPr>
            <w:tcW w:type="dxa" w:w="3402"/>
            <w:vAlign w:val="center"/>
            <w:shd w:fill="FFFFFF"/>
            <w:tcMar>
              <w:top w:w="75" w:type="dxa"/>
              <w:bottom w:w="75" w:type="dxa"/>
              <w:left w:w="75" w:type="dxa"/>
              <w:right w:w="75" w:type="dxa"/>
            </w:tcMar>
          </w:tcPr>
          <w:p>
            <w:pPr>
              <w:spacing w:after="40" w:before="40"/>
            </w:pPr>
            <w:r>
              <w:rPr>
                <w:b w:val="0"/>
                <w:sz w:val="18"/>
              </w:rPr>
              <w:t>Main diagnostic concern</w:t>
            </w:r>
          </w:p>
        </w:tc>
        <w:tc>
          <w:tcPr>
            <w:tcW w:type="dxa" w:w="3231"/>
            <w:vAlign w:val="center"/>
            <w:shd w:fill="FFFFFF"/>
            <w:tcMar>
              <w:top w:w="75" w:type="dxa"/>
              <w:bottom w:w="75" w:type="dxa"/>
              <w:left w:w="75" w:type="dxa"/>
              <w:right w:w="75" w:type="dxa"/>
            </w:tcMar>
          </w:tcPr>
          <w:p>
            <w:pPr>
              <w:spacing w:after="40" w:before="40"/>
            </w:pPr>
            <w:r>
              <w:rPr>
                <w:b w:val="0"/>
                <w:sz w:val="18"/>
              </w:rPr>
              <w:t>Overlapping strength indicators; small sample</w:t>
            </w:r>
          </w:p>
        </w:tc>
        <w:tc>
          <w:tcPr>
            <w:tcW w:type="dxa" w:w="3231"/>
            <w:vAlign w:val="center"/>
            <w:shd w:fill="FFFFFF"/>
            <w:tcMar>
              <w:top w:w="75" w:type="dxa"/>
              <w:bottom w:w="75" w:type="dxa"/>
              <w:left w:w="75" w:type="dxa"/>
              <w:right w:w="75" w:type="dxa"/>
            </w:tcMar>
          </w:tcPr>
          <w:p>
            <w:pPr>
              <w:spacing w:after="40" w:before="40"/>
            </w:pPr>
            <w:r>
              <w:rPr>
                <w:b w:val="0"/>
                <w:sz w:val="18"/>
              </w:rPr>
              <w:t>Count outcome, unequal variance and extreme scores</w:t>
            </w:r>
          </w:p>
        </w:tc>
      </w:tr>
      <w:tr>
        <w:trPr>
          <w:cantSplit/>
        </w:trPr>
        <w:tc>
          <w:tcPr>
            <w:tcW w:type="dxa" w:w="3402"/>
            <w:vAlign w:val="center"/>
            <w:shd w:fill="F7F8F9"/>
            <w:tcMar>
              <w:top w:w="75" w:type="dxa"/>
              <w:bottom w:w="75" w:type="dxa"/>
              <w:left w:w="75" w:type="dxa"/>
              <w:right w:w="75" w:type="dxa"/>
            </w:tcMar>
          </w:tcPr>
          <w:p>
            <w:pPr>
              <w:spacing w:after="40" w:before="40"/>
            </w:pPr>
            <w:r>
              <w:rPr>
                <w:b w:val="0"/>
                <w:sz w:val="18"/>
              </w:rPr>
              <w:t>Strongest defensible conclusion</w:t>
            </w:r>
          </w:p>
        </w:tc>
        <w:tc>
          <w:tcPr>
            <w:tcW w:type="dxa" w:w="3231"/>
            <w:vAlign w:val="center"/>
            <w:shd w:fill="F7F8F9"/>
            <w:tcMar>
              <w:top w:w="75" w:type="dxa"/>
              <w:bottom w:w="75" w:type="dxa"/>
              <w:left w:w="75" w:type="dxa"/>
              <w:right w:w="75" w:type="dxa"/>
            </w:tcMar>
          </w:tcPr>
          <w:p>
            <w:pPr>
              <w:spacing w:after="40" w:before="40"/>
            </w:pPr>
            <w:r>
              <w:rPr>
                <w:b w:val="0"/>
                <w:sz w:val="18"/>
              </w:rPr>
              <w:t>Useful relative to tested baselines, with wide uncertainty</w:t>
            </w:r>
          </w:p>
        </w:tc>
        <w:tc>
          <w:tcPr>
            <w:tcW w:type="dxa" w:w="3231"/>
            <w:vAlign w:val="center"/>
            <w:shd w:fill="F7F8F9"/>
            <w:tcMar>
              <w:top w:w="75" w:type="dxa"/>
              <w:bottom w:w="75" w:type="dxa"/>
              <w:left w:w="75" w:type="dxa"/>
              <w:right w:w="75" w:type="dxa"/>
            </w:tcMar>
          </w:tcPr>
          <w:p>
            <w:pPr>
              <w:spacing w:after="40" w:before="40"/>
            </w:pPr>
            <w:r>
              <w:rPr>
                <w:b w:val="0"/>
                <w:sz w:val="18"/>
              </w:rPr>
              <w:t>Limited additional value beyond a simpler strength model</w:t>
            </w:r>
          </w:p>
        </w:tc>
      </w:tr>
    </w:tbl>
    <w:p>
      <w:pPr>
        <w:spacing w:after="0"/>
      </w:pPr>
    </w:p>
    <w:p>
      <w:r>
        <w:t>The numerical MAEs should not be compared as if the models predict the same target. A goal difference and one team’s goals have different distributions. The better comparison is each model against baselines for its own target, supported by held-out R² and uncertainty. Regression 2.1 provides the stronger evidence of improvement under this evaluation design.</w:t>
      </w:r>
    </w:p>
    <w:p>
      <w:pPr>
        <w:pStyle w:val="Heading2"/>
      </w:pPr>
      <w:r>
        <w:t>Limits on generalisation</w:t>
      </w:r>
    </w:p>
    <w:p>
      <w:r>
        <w:t>The dataset covers the entire tournament, so its descriptive statistics have no sampling error for that particular finite population. Forecasting uncertainty remains because the fitted models aim to represent a broader process of football outcomes. Training, validation and testing are chronological partitions for prediction, not random samples for estimating the tournament mean. Confidence intervals rely on modelling or resampling assumptions and cannot be justified merely by having all 104 matches.</w:t>
      </w:r>
    </w:p>
    <w:p>
      <w:r>
        <w:t>The final holdout consists entirely of knockout fixtures and contains only 19 matches. Teams recur, opponents are selected by earlier success, and the variance of match outcomes can differ between stages. Historical friendlies and competitive games also differ in opposition strength and motivation. Competitive share only partially captures this. Date-level rest ignores kickoff times, travel and actual minutes played; the 14-day cap is a design choice, not an estimated biological threshold.</w:t>
      </w:r>
    </w:p>
    <w:p>
      <w:r>
        <w:t>Extra-time inclusion matches the stated full-match target but gives some knockout matches longer exposure in which to score. Actual extra time cannot be known before kickoff. The model therefore predicts a mixture of 90- and 120-minute scoring opportunities. Archived event data may also contain later corrections; no complete archive of what each website displayed at each historical kickoff was available.</w:t>
      </w:r>
    </w:p>
    <w:p>
      <w:r>
        <w:t>The two regressions are fitted separately and need not produce coherent joint score forecasts. For the final, Regression 2.1 predicts Spain’s goal difference as +0.443, while the difference between the two team-goals predictions is −0.155. Neither is overwritten to force agreement. They answer related but distinct assessment questions with different predictors and loss structures.</w:t>
      </w:r>
    </w:p>
    <w:p>
      <w:pPr>
        <w:pStyle w:val="Heading2"/>
      </w:pPr>
      <w:r>
        <w:t>Final conclusion</w:t>
      </w:r>
    </w:p>
    <w:p>
      <w:r>
        <w:t>Both tasks are completed with verified FIFA outcomes, the required observation counts, exactly eight predictors each, four shared concepts, auditable pre-match histories and Python evaluation. The results support cautious use of the goal-difference model relative to the tested baselines. The team-goals model illustrates that plausible extra variables do not necessarily improve prediction. A defensible assessment reports this result and its uncertainty rather than treating a statistically significant training fit as proof of accurate forecasting.</w:t>
      </w:r>
    </w:p>
    <w:p>
      <w:pPr>
        <w:pStyle w:val="Heading1"/>
        <w:pageBreakBefore/>
      </w:pPr>
      <w:r>
        <w:t>Reproducibility and supporting evidence</w:t>
      </w:r>
    </w:p>
    <w:p>
      <w:r>
        <w:t>The accompanying project includes raw source files, the two final modelling datasets, metadata, a data dictionary, Python scripts, all computed tables and figures, and the model predictions. No external account, API key or spreadsheet calculation is needed to reproduce the archived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030"/>
      </w:tblGrid>
      <w:tr>
        <w:trPr>
          <w:cantSplit/>
          <w:tblHeader/>
        </w:trPr>
        <w:tc>
          <w:tcPr>
            <w:tcW w:type="dxa" w:w="2835"/>
            <w:vAlign w:val="center"/>
            <w:shd w:fill="E8EDF1"/>
            <w:tcMar>
              <w:top w:w="75" w:type="dxa"/>
              <w:bottom w:w="75" w:type="dxa"/>
              <w:left w:w="75" w:type="dxa"/>
              <w:right w:w="75" w:type="dxa"/>
            </w:tcMar>
          </w:tcPr>
          <w:p>
            <w:pPr>
              <w:spacing w:after="40" w:before="40"/>
            </w:pPr>
            <w:r>
              <w:rPr>
                <w:b/>
                <w:sz w:val="18"/>
              </w:rPr>
              <w:t>File or folder</w:t>
            </w:r>
          </w:p>
        </w:tc>
        <w:tc>
          <w:tcPr>
            <w:tcW w:type="dxa" w:w="7030"/>
            <w:vAlign w:val="center"/>
            <w:shd w:fill="E8EDF1"/>
            <w:tcMar>
              <w:top w:w="75" w:type="dxa"/>
              <w:bottom w:w="75" w:type="dxa"/>
              <w:left w:w="75" w:type="dxa"/>
              <w:right w:w="75" w:type="dxa"/>
            </w:tcMar>
          </w:tcPr>
          <w:p>
            <w:pPr>
              <w:spacing w:after="40" w:before="40"/>
            </w:pPr>
            <w:r>
              <w:rPr>
                <w:b/>
                <w:sz w:val="18"/>
              </w:rPr>
              <w:t>Purpose</w:t>
            </w:r>
          </w:p>
        </w:tc>
      </w:tr>
      <w:tr>
        <w:trPr>
          <w:cantSplit/>
        </w:trPr>
        <w:tc>
          <w:tcPr>
            <w:tcW w:type="dxa" w:w="2835"/>
            <w:vAlign w:val="center"/>
            <w:shd w:fill="FFFFFF"/>
            <w:tcMar>
              <w:top w:w="75" w:type="dxa"/>
              <w:bottom w:w="75" w:type="dxa"/>
              <w:left w:w="75" w:type="dxa"/>
              <w:right w:w="75" w:type="dxa"/>
            </w:tcMar>
          </w:tcPr>
          <w:p>
            <w:pPr>
              <w:spacing w:after="40" w:before="40"/>
            </w:pPr>
            <w:r>
              <w:rPr>
                <w:b w:val="0"/>
                <w:sz w:val="18"/>
              </w:rPr>
              <w:t>raw/fifa/</w:t>
            </w:r>
          </w:p>
        </w:tc>
        <w:tc>
          <w:tcPr>
            <w:tcW w:type="dxa" w:w="7030"/>
            <w:vAlign w:val="center"/>
            <w:shd w:fill="FFFFFF"/>
            <w:tcMar>
              <w:top w:w="75" w:type="dxa"/>
              <w:bottom w:w="75" w:type="dxa"/>
              <w:left w:w="75" w:type="dxa"/>
              <w:right w:w="75" w:type="dxa"/>
            </w:tcMar>
          </w:tcPr>
          <w:p>
            <w:pPr>
              <w:spacing w:after="40" w:before="40"/>
            </w:pPr>
            <w:r>
              <w:rPr>
                <w:b w:val="0"/>
                <w:sz w:val="18"/>
              </w:rPr>
              <w:t>104 primary-source PDF match reports and extracted text; source resource numbers are not match IDs.</w:t>
            </w:r>
          </w:p>
        </w:tc>
      </w:tr>
      <w:tr>
        <w:trPr>
          <w:cantSplit/>
        </w:trPr>
        <w:tc>
          <w:tcPr>
            <w:tcW w:type="dxa" w:w="2835"/>
            <w:vAlign w:val="center"/>
            <w:shd w:fill="F7F8F9"/>
            <w:tcMar>
              <w:top w:w="75" w:type="dxa"/>
              <w:bottom w:w="75" w:type="dxa"/>
              <w:left w:w="75" w:type="dxa"/>
              <w:right w:w="75" w:type="dxa"/>
            </w:tcMar>
          </w:tcPr>
          <w:p>
            <w:pPr>
              <w:spacing w:after="40" w:before="40"/>
            </w:pPr>
            <w:r>
              <w:rPr>
                <w:b w:val="0"/>
                <w:sz w:val="18"/>
              </w:rPr>
              <w:t>raw/history.csv</w:t>
            </w:r>
          </w:p>
        </w:tc>
        <w:tc>
          <w:tcPr>
            <w:tcW w:type="dxa" w:w="7030"/>
            <w:vAlign w:val="center"/>
            <w:shd w:fill="F7F8F9"/>
            <w:tcMar>
              <w:top w:w="75" w:type="dxa"/>
              <w:bottom w:w="75" w:type="dxa"/>
              <w:left w:w="75" w:type="dxa"/>
              <w:right w:w="75" w:type="dxa"/>
            </w:tcMar>
          </w:tcPr>
          <w:p>
            <w:pPr>
              <w:spacing w:after="40" w:before="40"/>
            </w:pPr>
            <w:r>
              <w:rPr>
                <w:b w:val="0"/>
                <w:sz w:val="18"/>
              </w:rPr>
              <w:t>Archived international results used to construct initial histories. Only pre-tournament rows enter features.</w:t>
            </w:r>
          </w:p>
        </w:tc>
      </w:tr>
      <w:tr>
        <w:trPr>
          <w:cantSplit/>
        </w:trPr>
        <w:tc>
          <w:tcPr>
            <w:tcW w:type="dxa" w:w="2835"/>
            <w:vAlign w:val="center"/>
            <w:shd w:fill="FFFFFF"/>
            <w:tcMar>
              <w:top w:w="75" w:type="dxa"/>
              <w:bottom w:w="75" w:type="dxa"/>
              <w:left w:w="75" w:type="dxa"/>
              <w:right w:w="75" w:type="dxa"/>
            </w:tcMar>
          </w:tcPr>
          <w:p>
            <w:pPr>
              <w:spacing w:after="40" w:before="40"/>
            </w:pPr>
            <w:r>
              <w:rPr>
                <w:b w:val="0"/>
                <w:sz w:val="18"/>
              </w:rPr>
              <w:t>build_data.py</w:t>
            </w:r>
          </w:p>
        </w:tc>
        <w:tc>
          <w:tcPr>
            <w:tcW w:type="dxa" w:w="7030"/>
            <w:vAlign w:val="center"/>
            <w:shd w:fill="FFFFFF"/>
            <w:tcMar>
              <w:top w:w="75" w:type="dxa"/>
              <w:bottom w:w="75" w:type="dxa"/>
              <w:left w:w="75" w:type="dxa"/>
              <w:right w:w="75" w:type="dxa"/>
            </w:tcMar>
          </w:tcPr>
          <w:p>
            <w:pPr>
              <w:spacing w:after="40" w:before="40"/>
            </w:pPr>
            <w:r>
              <w:rPr>
                <w:b w:val="0"/>
                <w:sz w:val="18"/>
              </w:rPr>
              <w:t>Extracts FIFA outcomes, standardises names, audits scores, constructs strictly prior-date features and exports datasets.</w:t>
            </w:r>
          </w:p>
        </w:tc>
      </w:tr>
      <w:tr>
        <w:trPr>
          <w:cantSplit/>
        </w:trPr>
        <w:tc>
          <w:tcPr>
            <w:tcW w:type="dxa" w:w="2835"/>
            <w:vAlign w:val="center"/>
            <w:shd w:fill="F7F8F9"/>
            <w:tcMar>
              <w:top w:w="75" w:type="dxa"/>
              <w:bottom w:w="75" w:type="dxa"/>
              <w:left w:w="75" w:type="dxa"/>
              <w:right w:w="75" w:type="dxa"/>
            </w:tcMar>
          </w:tcPr>
          <w:p>
            <w:pPr>
              <w:spacing w:after="40" w:before="40"/>
            </w:pPr>
            <w:r>
              <w:rPr>
                <w:b w:val="0"/>
                <w:sz w:val="18"/>
              </w:rPr>
              <w:t>analyse.py</w:t>
            </w:r>
          </w:p>
        </w:tc>
        <w:tc>
          <w:tcPr>
            <w:tcW w:type="dxa" w:w="7030"/>
            <w:vAlign w:val="center"/>
            <w:shd w:fill="F7F8F9"/>
            <w:tcMar>
              <w:top w:w="75" w:type="dxa"/>
              <w:bottom w:w="75" w:type="dxa"/>
              <w:left w:w="75" w:type="dxa"/>
              <w:right w:w="75" w:type="dxa"/>
            </w:tcMar>
          </w:tcPr>
          <w:p>
            <w:pPr>
              <w:spacing w:after="40" w:before="40"/>
            </w:pPr>
            <w:r>
              <w:rPr>
                <w:b w:val="0"/>
                <w:sz w:val="18"/>
              </w:rPr>
              <w:t>Fits both OLS models and baselines; generates temporal validation, uncertainty, diagnostics and plots.</w:t>
            </w:r>
          </w:p>
        </w:tc>
      </w:tr>
      <w:tr>
        <w:trPr>
          <w:cantSplit/>
        </w:trPr>
        <w:tc>
          <w:tcPr>
            <w:tcW w:type="dxa" w:w="2835"/>
            <w:vAlign w:val="center"/>
            <w:shd w:fill="FFFFFF"/>
            <w:tcMar>
              <w:top w:w="75" w:type="dxa"/>
              <w:bottom w:w="75" w:type="dxa"/>
              <w:left w:w="75" w:type="dxa"/>
              <w:right w:w="75" w:type="dxa"/>
            </w:tcMar>
          </w:tcPr>
          <w:p>
            <w:pPr>
              <w:spacing w:after="40" w:before="40"/>
            </w:pPr>
            <w:r>
              <w:rPr>
                <w:b w:val="0"/>
                <w:sz w:val="18"/>
              </w:rPr>
              <w:t>validate.py</w:t>
            </w:r>
          </w:p>
        </w:tc>
        <w:tc>
          <w:tcPr>
            <w:tcW w:type="dxa" w:w="7030"/>
            <w:vAlign w:val="center"/>
            <w:shd w:fill="FFFFFF"/>
            <w:tcMar>
              <w:top w:w="75" w:type="dxa"/>
              <w:bottom w:w="75" w:type="dxa"/>
              <w:left w:w="75" w:type="dxa"/>
              <w:right w:w="75" w:type="dxa"/>
            </w:tcMar>
          </w:tcPr>
          <w:p>
            <w:pPr>
              <w:spacing w:after="40" w:before="40"/>
            </w:pPr>
            <w:r>
              <w:rPr>
                <w:b w:val="0"/>
                <w:sz w:val="18"/>
              </w:rPr>
              <w:t>Checks row counts, feature counts, targets, pairing, prior-date inputs, split integrity and recalculated errors.</w:t>
            </w:r>
          </w:p>
        </w:tc>
      </w:tr>
      <w:tr>
        <w:trPr>
          <w:cantSplit/>
        </w:trPr>
        <w:tc>
          <w:tcPr>
            <w:tcW w:type="dxa" w:w="2835"/>
            <w:vAlign w:val="center"/>
            <w:shd w:fill="F7F8F9"/>
            <w:tcMar>
              <w:top w:w="75" w:type="dxa"/>
              <w:bottom w:w="75" w:type="dxa"/>
              <w:left w:w="75" w:type="dxa"/>
              <w:right w:w="75" w:type="dxa"/>
            </w:tcMar>
          </w:tcPr>
          <w:p>
            <w:pPr>
              <w:spacing w:after="40" w:before="40"/>
            </w:pPr>
            <w:r>
              <w:rPr>
                <w:b w:val="0"/>
                <w:sz w:val="18"/>
              </w:rPr>
              <w:t>create_report.py</w:t>
            </w:r>
          </w:p>
        </w:tc>
        <w:tc>
          <w:tcPr>
            <w:tcW w:type="dxa" w:w="7030"/>
            <w:vAlign w:val="center"/>
            <w:shd w:fill="F7F8F9"/>
            <w:tcMar>
              <w:top w:w="75" w:type="dxa"/>
              <w:bottom w:w="75" w:type="dxa"/>
              <w:left w:w="75" w:type="dxa"/>
              <w:right w:w="75" w:type="dxa"/>
            </w:tcMar>
          </w:tcPr>
          <w:p>
            <w:pPr>
              <w:spacing w:after="40" w:before="40"/>
            </w:pPr>
            <w:r>
              <w:rPr>
                <w:b w:val="0"/>
                <w:sz w:val="18"/>
              </w:rPr>
              <w:t>Produces this report from the recorded results and figures.</w:t>
            </w:r>
          </w:p>
        </w:tc>
      </w:tr>
      <w:tr>
        <w:trPr>
          <w:cantSplit/>
        </w:trPr>
        <w:tc>
          <w:tcPr>
            <w:tcW w:type="dxa" w:w="2835"/>
            <w:vAlign w:val="center"/>
            <w:shd w:fill="FFFFFF"/>
            <w:tcMar>
              <w:top w:w="75" w:type="dxa"/>
              <w:bottom w:w="75" w:type="dxa"/>
              <w:left w:w="75" w:type="dxa"/>
              <w:right w:w="75" w:type="dxa"/>
            </w:tcMar>
          </w:tcPr>
          <w:p>
            <w:pPr>
              <w:spacing w:after="40" w:before="40"/>
            </w:pPr>
            <w:r>
              <w:rPr>
                <w:b w:val="0"/>
                <w:sz w:val="18"/>
              </w:rPr>
              <w:t>data/</w:t>
            </w:r>
          </w:p>
        </w:tc>
        <w:tc>
          <w:tcPr>
            <w:tcW w:type="dxa" w:w="7030"/>
            <w:vAlign w:val="center"/>
            <w:shd w:fill="FFFFFF"/>
            <w:tcMar>
              <w:top w:w="75" w:type="dxa"/>
              <w:bottom w:w="75" w:type="dxa"/>
              <w:left w:w="75" w:type="dxa"/>
              <w:right w:w="75" w:type="dxa"/>
            </w:tcMar>
          </w:tcPr>
          <w:p>
            <w:pPr>
              <w:spacing w:after="40" w:before="40"/>
            </w:pPr>
            <w:r>
              <w:rPr>
                <w:b w:val="0"/>
                <w:sz w:val="18"/>
              </w:rPr>
              <w:t>Two model-ready CSVs plus metadata, complete history audit, source comparison, exclusions and source hashes.</w:t>
            </w:r>
          </w:p>
        </w:tc>
      </w:tr>
      <w:tr>
        <w:trPr>
          <w:cantSplit/>
        </w:trPr>
        <w:tc>
          <w:tcPr>
            <w:tcW w:type="dxa" w:w="2835"/>
            <w:vAlign w:val="center"/>
            <w:shd w:fill="F7F8F9"/>
            <w:tcMar>
              <w:top w:w="75" w:type="dxa"/>
              <w:bottom w:w="75" w:type="dxa"/>
              <w:left w:w="75" w:type="dxa"/>
              <w:right w:w="75" w:type="dxa"/>
            </w:tcMar>
          </w:tcPr>
          <w:p>
            <w:pPr>
              <w:spacing w:after="40" w:before="40"/>
            </w:pPr>
            <w:r>
              <w:rPr>
                <w:b w:val="0"/>
                <w:sz w:val="18"/>
              </w:rPr>
              <w:t>output/</w:t>
            </w:r>
          </w:p>
        </w:tc>
        <w:tc>
          <w:tcPr>
            <w:tcW w:type="dxa" w:w="7030"/>
            <w:vAlign w:val="center"/>
            <w:shd w:fill="F7F8F9"/>
            <w:tcMar>
              <w:top w:w="75" w:type="dxa"/>
              <w:bottom w:w="75" w:type="dxa"/>
              <w:left w:w="75" w:type="dxa"/>
              <w:right w:w="75" w:type="dxa"/>
            </w:tcMar>
          </w:tcPr>
          <w:p>
            <w:pPr>
              <w:spacing w:after="40" w:before="40"/>
            </w:pPr>
            <w:r>
              <w:rPr>
                <w:b w:val="0"/>
                <w:sz w:val="18"/>
              </w:rPr>
              <w:t>Coefficients, VIFs, descriptions, prediction errors, sensitivity results, validation tables, figures and this report.</w:t>
            </w:r>
          </w:p>
        </w:tc>
      </w:tr>
    </w:tbl>
    <w:p>
      <w:pPr>
        <w:spacing w:after="0"/>
      </w:pPr>
    </w:p>
    <w:p>
      <w:pPr>
        <w:pStyle w:val="Heading2"/>
      </w:pPr>
      <w:r>
        <w:t>Reproduction sequence</w:t>
      </w:r>
    </w:p>
    <w:p>
      <w:r>
        <w:t>Install the dependencies in requirements.txt into a Python environment, then run build_data.py, analyse.py and validate.py in that order. Run create_report.py to rebuild the Word document. collect_fifa.py can refresh the public match reports; archived snapshots should remain the reference for reproducing these exact results. The deterministic bootstrap seed is 1402026. All relative file paths are resolved from the script directory.</w:t>
      </w:r>
    </w:p>
    <w:p>
      <w:r>
        <w:t>The saved coefficients retain the evaluated training fit. All 104 and 208 observations remain in the datasets. A deployment fit to all rows would need to be labelled separately.</w:t>
      </w:r>
    </w:p>
    <w:p>
      <w:pPr>
        <w:pStyle w:val="Heading2"/>
      </w:pPr>
      <w:r>
        <w:t>Sources and methods documentation</w:t>
      </w:r>
    </w:p>
    <w:p>
      <w:r>
        <w:t>[1] FIFA. FIFA World Cup 2026 full-time match reports, 104 archived PDFs, accessed 5 October 2026. The exact URL for each match is recorded in data/matches_fifa.csv. Example opening-match report: https://fdp.fifa.org/assetspublic/ce281/r12452/pdf/FullTimeMatchReport-English.pdf. Final: https://fdp.fifa.org/assetspublic/ce281/r12552/pdf/FullTimeMatchReport-English.pdf.</w:t>
      </w:r>
    </w:p>
    <w:p>
      <w:r>
        <w:t>[2] Jürisoo, M. International football results collection and data definitions. https://github.com/martj42/international_results. Raw snapshot: https://raw.githubusercontent.com/martj42/international_results/master/results.csv. Accessed 5 October 2026. Source README documents scores including extra time and excluding shootouts.</w:t>
      </w:r>
    </w:p>
    <w:p>
      <w:r>
        <w:t>[3] statsmodels. Ordinary Least Squares documentation. https://www.statsmodels.org/stable/generated/statsmodels.regression.linear_model.OLS.html. Accessed 5 October 2026. Python implementation explicitly includes an intercept.</w:t>
      </w:r>
    </w:p>
    <w:p>
      <w:r>
        <w:t>[4] scikit-learn. Regression metrics documentation. https://scikit-learn.org/stable/modules/model_evaluation.html. Accessed 5 October 2026. Metrics here are computed directly from saved predictions in Python.</w:t>
      </w:r>
    </w:p>
    <w:p>
      <w:r>
        <w:t>[5] scikit-learn. TimeSeriesSplit documentation. https://scikit-learn.org/stable/modules/generated/sklearn.model_selection.TimeSeriesSplit.html. Accessed 5 October 2026. This project implements expanding windows on whole calendar dates and matches; it does not apply the row-based splitter directly to paired team records.</w:t>
      </w:r>
    </w:p>
    <w:p>
      <w:pPr>
        <w:pStyle w:val="Heading1"/>
        <w:pageBreakBefore/>
      </w:pPr>
      <w:r>
        <w:t>Descriptive statistics for the final datasets</w:t>
      </w:r>
    </w:p>
    <w:p>
      <w:r>
        <w:t>These summaries describe the complete tournament datasets. They were not used to estimate preprocessing parameters or choose predictors from held-out outcomes. SD is the sample standard deviation; all proportions range from zero to one before taking differences. Definitions and scales correspond to the variable tables above.</w:t>
      </w:r>
    </w:p>
    <w:p>
      <w:pPr>
        <w:pStyle w:val="Heading2"/>
      </w:pPr>
      <w:r>
        <w:t>Regression 2 1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701"/>
        <w:gridCol w:w="1701"/>
        <w:gridCol w:w="1701"/>
        <w:gridCol w:w="1701"/>
        <w:gridCol w:w="1701"/>
      </w:tblGrid>
      <w:tr>
        <w:trPr>
          <w:cantSplit/>
          <w:tblHeader/>
        </w:trPr>
        <w:tc>
          <w:tcPr>
            <w:tcW w:type="dxa" w:w="1361"/>
            <w:vAlign w:val="center"/>
            <w:shd w:fill="E8EDF1"/>
            <w:tcMar>
              <w:top w:w="75" w:type="dxa"/>
              <w:bottom w:w="75" w:type="dxa"/>
              <w:left w:w="75" w:type="dxa"/>
              <w:right w:w="75" w:type="dxa"/>
            </w:tcMar>
          </w:tcPr>
          <w:p>
            <w:pPr>
              <w:spacing w:after="40" w:before="40"/>
            </w:pPr>
            <w:r>
              <w:rPr>
                <w:b/>
                <w:sz w:val="18"/>
              </w:rPr>
              <w:t>Variable</w:t>
            </w:r>
          </w:p>
        </w:tc>
        <w:tc>
          <w:tcPr>
            <w:tcW w:type="dxa" w:w="1701"/>
            <w:vAlign w:val="center"/>
            <w:shd w:fill="E8EDF1"/>
            <w:tcMar>
              <w:top w:w="75" w:type="dxa"/>
              <w:bottom w:w="75" w:type="dxa"/>
              <w:left w:w="75" w:type="dxa"/>
              <w:right w:w="75" w:type="dxa"/>
            </w:tcMar>
          </w:tcPr>
          <w:p>
            <w:pPr>
              <w:spacing w:after="40" w:before="40"/>
            </w:pPr>
            <w:r>
              <w:rPr>
                <w:b/>
                <w:sz w:val="18"/>
              </w:rPr>
              <w:t>Mean</w:t>
            </w:r>
          </w:p>
        </w:tc>
        <w:tc>
          <w:tcPr>
            <w:tcW w:type="dxa" w:w="1701"/>
            <w:vAlign w:val="center"/>
            <w:shd w:fill="E8EDF1"/>
            <w:tcMar>
              <w:top w:w="75" w:type="dxa"/>
              <w:bottom w:w="75" w:type="dxa"/>
              <w:left w:w="75" w:type="dxa"/>
              <w:right w:w="75" w:type="dxa"/>
            </w:tcMar>
          </w:tcPr>
          <w:p>
            <w:pPr>
              <w:spacing w:after="40" w:before="40"/>
            </w:pPr>
            <w:r>
              <w:rPr>
                <w:b/>
                <w:sz w:val="18"/>
              </w:rPr>
              <w:t>SD</w:t>
            </w:r>
          </w:p>
        </w:tc>
        <w:tc>
          <w:tcPr>
            <w:tcW w:type="dxa" w:w="1701"/>
            <w:vAlign w:val="center"/>
            <w:shd w:fill="E8EDF1"/>
            <w:tcMar>
              <w:top w:w="75" w:type="dxa"/>
              <w:bottom w:w="75" w:type="dxa"/>
              <w:left w:w="75" w:type="dxa"/>
              <w:right w:w="75" w:type="dxa"/>
            </w:tcMar>
          </w:tcPr>
          <w:p>
            <w:pPr>
              <w:spacing w:after="40" w:before="40"/>
            </w:pPr>
            <w:r>
              <w:rPr>
                <w:b/>
                <w:sz w:val="18"/>
              </w:rPr>
              <w:t>Minimum</w:t>
            </w:r>
          </w:p>
        </w:tc>
        <w:tc>
          <w:tcPr>
            <w:tcW w:type="dxa" w:w="1701"/>
            <w:vAlign w:val="center"/>
            <w:shd w:fill="E8EDF1"/>
            <w:tcMar>
              <w:top w:w="75" w:type="dxa"/>
              <w:bottom w:w="75" w:type="dxa"/>
              <w:left w:w="75" w:type="dxa"/>
              <w:right w:w="75" w:type="dxa"/>
            </w:tcMar>
          </w:tcPr>
          <w:p>
            <w:pPr>
              <w:spacing w:after="40" w:before="40"/>
            </w:pPr>
            <w:r>
              <w:rPr>
                <w:b/>
                <w:sz w:val="18"/>
              </w:rPr>
              <w:t>Median</w:t>
            </w:r>
          </w:p>
        </w:tc>
        <w:tc>
          <w:tcPr>
            <w:tcW w:type="dxa" w:w="1701"/>
            <w:vAlign w:val="center"/>
            <w:shd w:fill="E8EDF1"/>
            <w:tcMar>
              <w:top w:w="75" w:type="dxa"/>
              <w:bottom w:w="75" w:type="dxa"/>
              <w:left w:w="75" w:type="dxa"/>
              <w:right w:w="75" w:type="dxa"/>
            </w:tcMar>
          </w:tcPr>
          <w:p>
            <w:pPr>
              <w:spacing w:after="40" w:before="40"/>
            </w:pPr>
            <w:r>
              <w:rPr>
                <w:b/>
                <w:sz w:val="18"/>
              </w:rPr>
              <w:t>Maximum</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x1</w:t>
            </w:r>
          </w:p>
        </w:tc>
        <w:tc>
          <w:tcPr>
            <w:tcW w:type="dxa" w:w="1701"/>
            <w:vAlign w:val="center"/>
            <w:shd w:fill="FFFFFF"/>
            <w:tcMar>
              <w:top w:w="75" w:type="dxa"/>
              <w:bottom w:w="75" w:type="dxa"/>
              <w:left w:w="75" w:type="dxa"/>
              <w:right w:w="75" w:type="dxa"/>
            </w:tcMar>
          </w:tcPr>
          <w:p>
            <w:pPr>
              <w:spacing w:after="40" w:before="40"/>
            </w:pPr>
            <w:r>
              <w:rPr>
                <w:b w:val="0"/>
                <w:sz w:val="18"/>
              </w:rPr>
              <w:t>0.409</w:t>
            </w:r>
          </w:p>
        </w:tc>
        <w:tc>
          <w:tcPr>
            <w:tcW w:type="dxa" w:w="1701"/>
            <w:vAlign w:val="center"/>
            <w:shd w:fill="FFFFFF"/>
            <w:tcMar>
              <w:top w:w="75" w:type="dxa"/>
              <w:bottom w:w="75" w:type="dxa"/>
              <w:left w:w="75" w:type="dxa"/>
              <w:right w:w="75" w:type="dxa"/>
            </w:tcMar>
          </w:tcPr>
          <w:p>
            <w:pPr>
              <w:spacing w:after="40" w:before="40"/>
            </w:pPr>
            <w:r>
              <w:rPr>
                <w:b w:val="0"/>
                <w:sz w:val="18"/>
              </w:rPr>
              <w:t>1.694</w:t>
            </w:r>
          </w:p>
        </w:tc>
        <w:tc>
          <w:tcPr>
            <w:tcW w:type="dxa" w:w="1701"/>
            <w:vAlign w:val="center"/>
            <w:shd w:fill="FFFFFF"/>
            <w:tcMar>
              <w:top w:w="75" w:type="dxa"/>
              <w:bottom w:w="75" w:type="dxa"/>
              <w:left w:w="75" w:type="dxa"/>
              <w:right w:w="75" w:type="dxa"/>
            </w:tcMar>
          </w:tcPr>
          <w:p>
            <w:pPr>
              <w:spacing w:after="40" w:before="40"/>
            </w:pPr>
            <w:r>
              <w:rPr>
                <w:b w:val="0"/>
                <w:sz w:val="18"/>
              </w:rPr>
              <w:t>-3.838</w:t>
            </w:r>
          </w:p>
        </w:tc>
        <w:tc>
          <w:tcPr>
            <w:tcW w:type="dxa" w:w="1701"/>
            <w:vAlign w:val="center"/>
            <w:shd w:fill="FFFFFF"/>
            <w:tcMar>
              <w:top w:w="75" w:type="dxa"/>
              <w:bottom w:w="75" w:type="dxa"/>
              <w:left w:w="75" w:type="dxa"/>
              <w:right w:w="75" w:type="dxa"/>
            </w:tcMar>
          </w:tcPr>
          <w:p>
            <w:pPr>
              <w:spacing w:after="40" w:before="40"/>
            </w:pPr>
            <w:r>
              <w:rPr>
                <w:b w:val="0"/>
                <w:sz w:val="18"/>
              </w:rPr>
              <w:t>0.337</w:t>
            </w:r>
          </w:p>
        </w:tc>
        <w:tc>
          <w:tcPr>
            <w:tcW w:type="dxa" w:w="1701"/>
            <w:vAlign w:val="center"/>
            <w:shd w:fill="FFFFFF"/>
            <w:tcMar>
              <w:top w:w="75" w:type="dxa"/>
              <w:bottom w:w="75" w:type="dxa"/>
              <w:left w:w="75" w:type="dxa"/>
              <w:right w:w="75" w:type="dxa"/>
            </w:tcMar>
          </w:tcPr>
          <w:p>
            <w:pPr>
              <w:spacing w:after="40" w:before="40"/>
            </w:pPr>
            <w:r>
              <w:rPr>
                <w:b w:val="0"/>
                <w:sz w:val="18"/>
              </w:rPr>
              <w:t>4.027</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x2</w:t>
            </w:r>
          </w:p>
        </w:tc>
        <w:tc>
          <w:tcPr>
            <w:tcW w:type="dxa" w:w="1701"/>
            <w:vAlign w:val="center"/>
            <w:shd w:fill="F7F8F9"/>
            <w:tcMar>
              <w:top w:w="75" w:type="dxa"/>
              <w:bottom w:w="75" w:type="dxa"/>
              <w:left w:w="75" w:type="dxa"/>
              <w:right w:w="75" w:type="dxa"/>
            </w:tcMar>
          </w:tcPr>
          <w:p>
            <w:pPr>
              <w:spacing w:after="40" w:before="40"/>
            </w:pPr>
            <w:r>
              <w:rPr>
                <w:b w:val="0"/>
                <w:sz w:val="18"/>
              </w:rPr>
              <w:t>0.045</w:t>
            </w:r>
          </w:p>
        </w:tc>
        <w:tc>
          <w:tcPr>
            <w:tcW w:type="dxa" w:w="1701"/>
            <w:vAlign w:val="center"/>
            <w:shd w:fill="F7F8F9"/>
            <w:tcMar>
              <w:top w:w="75" w:type="dxa"/>
              <w:bottom w:w="75" w:type="dxa"/>
              <w:left w:w="75" w:type="dxa"/>
              <w:right w:w="75" w:type="dxa"/>
            </w:tcMar>
          </w:tcPr>
          <w:p>
            <w:pPr>
              <w:spacing w:after="40" w:before="40"/>
            </w:pPr>
            <w:r>
              <w:rPr>
                <w:b w:val="0"/>
                <w:sz w:val="18"/>
              </w:rPr>
              <w:t>0.277</w:t>
            </w:r>
          </w:p>
        </w:tc>
        <w:tc>
          <w:tcPr>
            <w:tcW w:type="dxa" w:w="1701"/>
            <w:vAlign w:val="center"/>
            <w:shd w:fill="F7F8F9"/>
            <w:tcMar>
              <w:top w:w="75" w:type="dxa"/>
              <w:bottom w:w="75" w:type="dxa"/>
              <w:left w:w="75" w:type="dxa"/>
              <w:right w:w="75" w:type="dxa"/>
            </w:tcMar>
          </w:tcPr>
          <w:p>
            <w:pPr>
              <w:spacing w:after="40" w:before="40"/>
            </w:pPr>
            <w:r>
              <w:rPr>
                <w:b w:val="0"/>
                <w:sz w:val="18"/>
              </w:rPr>
              <w:t>-0.700</w:t>
            </w:r>
          </w:p>
        </w:tc>
        <w:tc>
          <w:tcPr>
            <w:tcW w:type="dxa" w:w="1701"/>
            <w:vAlign w:val="center"/>
            <w:shd w:fill="F7F8F9"/>
            <w:tcMar>
              <w:top w:w="75" w:type="dxa"/>
              <w:bottom w:w="75" w:type="dxa"/>
              <w:left w:w="75" w:type="dxa"/>
              <w:right w:w="75" w:type="dxa"/>
            </w:tcMar>
          </w:tcPr>
          <w:p>
            <w:pPr>
              <w:spacing w:after="40" w:before="40"/>
            </w:pPr>
            <w:r>
              <w:rPr>
                <w:b w:val="0"/>
                <w:sz w:val="18"/>
              </w:rPr>
              <w:t>0.100</w:t>
            </w:r>
          </w:p>
        </w:tc>
        <w:tc>
          <w:tcPr>
            <w:tcW w:type="dxa" w:w="1701"/>
            <w:vAlign w:val="center"/>
            <w:shd w:fill="F7F8F9"/>
            <w:tcMar>
              <w:top w:w="75" w:type="dxa"/>
              <w:bottom w:w="75" w:type="dxa"/>
              <w:left w:w="75" w:type="dxa"/>
              <w:right w:w="75" w:type="dxa"/>
            </w:tcMar>
          </w:tcPr>
          <w:p>
            <w:pPr>
              <w:spacing w:after="40" w:before="40"/>
            </w:pPr>
            <w:r>
              <w:rPr>
                <w:b w:val="0"/>
                <w:sz w:val="18"/>
              </w:rPr>
              <w:t>0.800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x3</w:t>
            </w:r>
          </w:p>
        </w:tc>
        <w:tc>
          <w:tcPr>
            <w:tcW w:type="dxa" w:w="1701"/>
            <w:vAlign w:val="center"/>
            <w:shd w:fill="FFFFFF"/>
            <w:tcMar>
              <w:top w:w="75" w:type="dxa"/>
              <w:bottom w:w="75" w:type="dxa"/>
              <w:left w:w="75" w:type="dxa"/>
              <w:right w:w="75" w:type="dxa"/>
            </w:tcMar>
          </w:tcPr>
          <w:p>
            <w:pPr>
              <w:spacing w:after="40" w:before="40"/>
            </w:pPr>
            <w:r>
              <w:rPr>
                <w:b w:val="0"/>
                <w:sz w:val="18"/>
              </w:rPr>
              <w:t>-0.024</w:t>
            </w:r>
          </w:p>
        </w:tc>
        <w:tc>
          <w:tcPr>
            <w:tcW w:type="dxa" w:w="1701"/>
            <w:vAlign w:val="center"/>
            <w:shd w:fill="FFFFFF"/>
            <w:tcMar>
              <w:top w:w="75" w:type="dxa"/>
              <w:bottom w:w="75" w:type="dxa"/>
              <w:left w:w="75" w:type="dxa"/>
              <w:right w:w="75" w:type="dxa"/>
            </w:tcMar>
          </w:tcPr>
          <w:p>
            <w:pPr>
              <w:spacing w:after="40" w:before="40"/>
            </w:pPr>
            <w:r>
              <w:rPr>
                <w:b w:val="0"/>
                <w:sz w:val="18"/>
              </w:rPr>
              <w:t>0.227</w:t>
            </w:r>
          </w:p>
        </w:tc>
        <w:tc>
          <w:tcPr>
            <w:tcW w:type="dxa" w:w="1701"/>
            <w:vAlign w:val="center"/>
            <w:shd w:fill="FFFFFF"/>
            <w:tcMar>
              <w:top w:w="75" w:type="dxa"/>
              <w:bottom w:w="75" w:type="dxa"/>
              <w:left w:w="75" w:type="dxa"/>
              <w:right w:w="75" w:type="dxa"/>
            </w:tcMar>
          </w:tcPr>
          <w:p>
            <w:pPr>
              <w:spacing w:after="40" w:before="40"/>
            </w:pPr>
            <w:r>
              <w:rPr>
                <w:b w:val="0"/>
                <w:sz w:val="18"/>
              </w:rPr>
              <w:t>-0.600</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0.600</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x4</w:t>
            </w:r>
          </w:p>
        </w:tc>
        <w:tc>
          <w:tcPr>
            <w:tcW w:type="dxa" w:w="1701"/>
            <w:vAlign w:val="center"/>
            <w:shd w:fill="F7F8F9"/>
            <w:tcMar>
              <w:top w:w="75" w:type="dxa"/>
              <w:bottom w:w="75" w:type="dxa"/>
              <w:left w:w="75" w:type="dxa"/>
              <w:right w:w="75" w:type="dxa"/>
            </w:tcMar>
          </w:tcPr>
          <w:p>
            <w:pPr>
              <w:spacing w:after="40" w:before="40"/>
            </w:pPr>
            <w:r>
              <w:rPr>
                <w:b w:val="0"/>
                <w:sz w:val="18"/>
              </w:rPr>
              <w:t>0.087</w:t>
            </w:r>
          </w:p>
        </w:tc>
        <w:tc>
          <w:tcPr>
            <w:tcW w:type="dxa" w:w="1701"/>
            <w:vAlign w:val="center"/>
            <w:shd w:fill="F7F8F9"/>
            <w:tcMar>
              <w:top w:w="75" w:type="dxa"/>
              <w:bottom w:w="75" w:type="dxa"/>
              <w:left w:w="75" w:type="dxa"/>
              <w:right w:w="75" w:type="dxa"/>
            </w:tcMar>
          </w:tcPr>
          <w:p>
            <w:pPr>
              <w:spacing w:after="40" w:before="40"/>
            </w:pPr>
            <w:r>
              <w:rPr>
                <w:b w:val="0"/>
                <w:sz w:val="18"/>
              </w:rPr>
              <w:t>1.521</w:t>
            </w:r>
          </w:p>
        </w:tc>
        <w:tc>
          <w:tcPr>
            <w:tcW w:type="dxa" w:w="1701"/>
            <w:vAlign w:val="center"/>
            <w:shd w:fill="F7F8F9"/>
            <w:tcMar>
              <w:top w:w="75" w:type="dxa"/>
              <w:bottom w:w="75" w:type="dxa"/>
              <w:left w:w="75" w:type="dxa"/>
              <w:right w:w="75" w:type="dxa"/>
            </w:tcMar>
          </w:tcPr>
          <w:p>
            <w:pPr>
              <w:spacing w:after="40" w:before="40"/>
            </w:pPr>
            <w:r>
              <w:rPr>
                <w:b w:val="0"/>
                <w:sz w:val="18"/>
              </w:rPr>
              <w:t>-8.000</w:t>
            </w:r>
          </w:p>
        </w:tc>
        <w:tc>
          <w:tcPr>
            <w:tcW w:type="dxa" w:w="1701"/>
            <w:vAlign w:val="center"/>
            <w:shd w:fill="F7F8F9"/>
            <w:tcMar>
              <w:top w:w="75" w:type="dxa"/>
              <w:bottom w:w="75" w:type="dxa"/>
              <w:left w:w="75" w:type="dxa"/>
              <w:right w:w="75" w:type="dxa"/>
            </w:tcMar>
          </w:tcPr>
          <w:p>
            <w:pPr>
              <w:spacing w:after="40" w:before="40"/>
            </w:pPr>
            <w:r>
              <w:rPr>
                <w:b w:val="0"/>
                <w:sz w:val="18"/>
              </w:rPr>
              <w:t>0.000</w:t>
            </w:r>
          </w:p>
        </w:tc>
        <w:tc>
          <w:tcPr>
            <w:tcW w:type="dxa" w:w="1701"/>
            <w:vAlign w:val="center"/>
            <w:shd w:fill="F7F8F9"/>
            <w:tcMar>
              <w:top w:w="75" w:type="dxa"/>
              <w:bottom w:w="75" w:type="dxa"/>
              <w:left w:w="75" w:type="dxa"/>
              <w:right w:w="75" w:type="dxa"/>
            </w:tcMar>
          </w:tcPr>
          <w:p>
            <w:pPr>
              <w:spacing w:after="40" w:before="40"/>
            </w:pPr>
            <w:r>
              <w:rPr>
                <w:b w:val="0"/>
                <w:sz w:val="18"/>
              </w:rPr>
              <w:t>5.000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x5</w:t>
            </w:r>
          </w:p>
        </w:tc>
        <w:tc>
          <w:tcPr>
            <w:tcW w:type="dxa" w:w="1701"/>
            <w:vAlign w:val="center"/>
            <w:shd w:fill="FFFFFF"/>
            <w:tcMar>
              <w:top w:w="75" w:type="dxa"/>
              <w:bottom w:w="75" w:type="dxa"/>
              <w:left w:w="75" w:type="dxa"/>
              <w:right w:w="75" w:type="dxa"/>
            </w:tcMar>
          </w:tcPr>
          <w:p>
            <w:pPr>
              <w:spacing w:after="40" w:before="40"/>
            </w:pPr>
            <w:r>
              <w:rPr>
                <w:b w:val="0"/>
                <w:sz w:val="18"/>
              </w:rPr>
              <w:t>0.067</w:t>
            </w:r>
          </w:p>
        </w:tc>
        <w:tc>
          <w:tcPr>
            <w:tcW w:type="dxa" w:w="1701"/>
            <w:vAlign w:val="center"/>
            <w:shd w:fill="FFFFFF"/>
            <w:tcMar>
              <w:top w:w="75" w:type="dxa"/>
              <w:bottom w:w="75" w:type="dxa"/>
              <w:left w:w="75" w:type="dxa"/>
              <w:right w:w="75" w:type="dxa"/>
            </w:tcMar>
          </w:tcPr>
          <w:p>
            <w:pPr>
              <w:spacing w:after="40" w:before="40"/>
            </w:pPr>
            <w:r>
              <w:rPr>
                <w:b w:val="0"/>
                <w:sz w:val="18"/>
              </w:rPr>
              <w:t>0.349</w:t>
            </w:r>
          </w:p>
        </w:tc>
        <w:tc>
          <w:tcPr>
            <w:tcW w:type="dxa" w:w="1701"/>
            <w:vAlign w:val="center"/>
            <w:shd w:fill="FFFFFF"/>
            <w:tcMar>
              <w:top w:w="75" w:type="dxa"/>
              <w:bottom w:w="75" w:type="dxa"/>
              <w:left w:w="75" w:type="dxa"/>
              <w:right w:w="75" w:type="dxa"/>
            </w:tcMar>
          </w:tcPr>
          <w:p>
            <w:pPr>
              <w:spacing w:after="40" w:before="40"/>
            </w:pPr>
            <w:r>
              <w:rPr>
                <w:b w:val="0"/>
                <w:sz w:val="18"/>
              </w:rPr>
              <w:t>-1.000</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1.000</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x6</w:t>
            </w:r>
          </w:p>
        </w:tc>
        <w:tc>
          <w:tcPr>
            <w:tcW w:type="dxa" w:w="1701"/>
            <w:vAlign w:val="center"/>
            <w:shd w:fill="F7F8F9"/>
            <w:tcMar>
              <w:top w:w="75" w:type="dxa"/>
              <w:bottom w:w="75" w:type="dxa"/>
              <w:left w:w="75" w:type="dxa"/>
              <w:right w:w="75" w:type="dxa"/>
            </w:tcMar>
          </w:tcPr>
          <w:p>
            <w:pPr>
              <w:spacing w:after="40" w:before="40"/>
            </w:pPr>
            <w:r>
              <w:rPr>
                <w:b w:val="0"/>
                <w:sz w:val="18"/>
              </w:rPr>
              <w:t>0.407</w:t>
            </w:r>
          </w:p>
        </w:tc>
        <w:tc>
          <w:tcPr>
            <w:tcW w:type="dxa" w:w="1701"/>
            <w:vAlign w:val="center"/>
            <w:shd w:fill="F7F8F9"/>
            <w:tcMar>
              <w:top w:w="75" w:type="dxa"/>
              <w:bottom w:w="75" w:type="dxa"/>
              <w:left w:w="75" w:type="dxa"/>
              <w:right w:w="75" w:type="dxa"/>
            </w:tcMar>
          </w:tcPr>
          <w:p>
            <w:pPr>
              <w:spacing w:after="40" w:before="40"/>
            </w:pPr>
            <w:r>
              <w:rPr>
                <w:b w:val="0"/>
                <w:sz w:val="18"/>
              </w:rPr>
              <w:t>1.577</w:t>
            </w:r>
          </w:p>
        </w:tc>
        <w:tc>
          <w:tcPr>
            <w:tcW w:type="dxa" w:w="1701"/>
            <w:vAlign w:val="center"/>
            <w:shd w:fill="F7F8F9"/>
            <w:tcMar>
              <w:top w:w="75" w:type="dxa"/>
              <w:bottom w:w="75" w:type="dxa"/>
              <w:left w:w="75" w:type="dxa"/>
              <w:right w:w="75" w:type="dxa"/>
            </w:tcMar>
          </w:tcPr>
          <w:p>
            <w:pPr>
              <w:spacing w:after="40" w:before="40"/>
            </w:pPr>
            <w:r>
              <w:rPr>
                <w:b w:val="0"/>
                <w:sz w:val="18"/>
              </w:rPr>
              <w:t>-3.412</w:t>
            </w:r>
          </w:p>
        </w:tc>
        <w:tc>
          <w:tcPr>
            <w:tcW w:type="dxa" w:w="1701"/>
            <w:vAlign w:val="center"/>
            <w:shd w:fill="F7F8F9"/>
            <w:tcMar>
              <w:top w:w="75" w:type="dxa"/>
              <w:bottom w:w="75" w:type="dxa"/>
              <w:left w:w="75" w:type="dxa"/>
              <w:right w:w="75" w:type="dxa"/>
            </w:tcMar>
          </w:tcPr>
          <w:p>
            <w:pPr>
              <w:spacing w:after="40" w:before="40"/>
            </w:pPr>
            <w:r>
              <w:rPr>
                <w:b w:val="0"/>
                <w:sz w:val="18"/>
              </w:rPr>
              <w:t>0.454</w:t>
            </w:r>
          </w:p>
        </w:tc>
        <w:tc>
          <w:tcPr>
            <w:tcW w:type="dxa" w:w="1701"/>
            <w:vAlign w:val="center"/>
            <w:shd w:fill="F7F8F9"/>
            <w:tcMar>
              <w:top w:w="75" w:type="dxa"/>
              <w:bottom w:w="75" w:type="dxa"/>
              <w:left w:w="75" w:type="dxa"/>
              <w:right w:w="75" w:type="dxa"/>
            </w:tcMar>
          </w:tcPr>
          <w:p>
            <w:pPr>
              <w:spacing w:after="40" w:before="40"/>
            </w:pPr>
            <w:r>
              <w:rPr>
                <w:b w:val="0"/>
                <w:sz w:val="18"/>
              </w:rPr>
              <w:t>4.727</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x7</w:t>
            </w:r>
          </w:p>
        </w:tc>
        <w:tc>
          <w:tcPr>
            <w:tcW w:type="dxa" w:w="1701"/>
            <w:vAlign w:val="center"/>
            <w:shd w:fill="FFFFFF"/>
            <w:tcMar>
              <w:top w:w="75" w:type="dxa"/>
              <w:bottom w:w="75" w:type="dxa"/>
              <w:left w:w="75" w:type="dxa"/>
              <w:right w:w="75" w:type="dxa"/>
            </w:tcMar>
          </w:tcPr>
          <w:p>
            <w:pPr>
              <w:spacing w:after="40" w:before="40"/>
            </w:pPr>
            <w:r>
              <w:rPr>
                <w:b w:val="0"/>
                <w:sz w:val="18"/>
              </w:rPr>
              <w:t>0.009</w:t>
            </w:r>
          </w:p>
        </w:tc>
        <w:tc>
          <w:tcPr>
            <w:tcW w:type="dxa" w:w="1701"/>
            <w:vAlign w:val="center"/>
            <w:shd w:fill="FFFFFF"/>
            <w:tcMar>
              <w:top w:w="75" w:type="dxa"/>
              <w:bottom w:w="75" w:type="dxa"/>
              <w:left w:w="75" w:type="dxa"/>
              <w:right w:w="75" w:type="dxa"/>
            </w:tcMar>
          </w:tcPr>
          <w:p>
            <w:pPr>
              <w:spacing w:after="40" w:before="40"/>
            </w:pPr>
            <w:r>
              <w:rPr>
                <w:b w:val="0"/>
                <w:sz w:val="18"/>
              </w:rPr>
              <w:t>0.294</w:t>
            </w:r>
          </w:p>
        </w:tc>
        <w:tc>
          <w:tcPr>
            <w:tcW w:type="dxa" w:w="1701"/>
            <w:vAlign w:val="center"/>
            <w:shd w:fill="FFFFFF"/>
            <w:tcMar>
              <w:top w:w="75" w:type="dxa"/>
              <w:bottom w:w="75" w:type="dxa"/>
              <w:left w:w="75" w:type="dxa"/>
              <w:right w:w="75" w:type="dxa"/>
            </w:tcMar>
          </w:tcPr>
          <w:p>
            <w:pPr>
              <w:spacing w:after="40" w:before="40"/>
            </w:pPr>
            <w:r>
              <w:rPr>
                <w:b w:val="0"/>
                <w:sz w:val="18"/>
              </w:rPr>
              <w:t>-0.714</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0.714</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x8</w:t>
            </w:r>
          </w:p>
        </w:tc>
        <w:tc>
          <w:tcPr>
            <w:tcW w:type="dxa" w:w="1701"/>
            <w:vAlign w:val="center"/>
            <w:shd w:fill="F7F8F9"/>
            <w:tcMar>
              <w:top w:w="75" w:type="dxa"/>
              <w:bottom w:w="75" w:type="dxa"/>
              <w:left w:w="75" w:type="dxa"/>
              <w:right w:w="75" w:type="dxa"/>
            </w:tcMar>
          </w:tcPr>
          <w:p>
            <w:pPr>
              <w:spacing w:after="40" w:before="40"/>
            </w:pPr>
            <w:r>
              <w:rPr>
                <w:b w:val="0"/>
                <w:sz w:val="18"/>
              </w:rPr>
              <w:t>-0.056</w:t>
            </w:r>
          </w:p>
        </w:tc>
        <w:tc>
          <w:tcPr>
            <w:tcW w:type="dxa" w:w="1701"/>
            <w:vAlign w:val="center"/>
            <w:shd w:fill="F7F8F9"/>
            <w:tcMar>
              <w:top w:w="75" w:type="dxa"/>
              <w:bottom w:w="75" w:type="dxa"/>
              <w:left w:w="75" w:type="dxa"/>
              <w:right w:w="75" w:type="dxa"/>
            </w:tcMar>
          </w:tcPr>
          <w:p>
            <w:pPr>
              <w:spacing w:after="40" w:before="40"/>
            </w:pPr>
            <w:r>
              <w:rPr>
                <w:b w:val="0"/>
                <w:sz w:val="18"/>
              </w:rPr>
              <w:t>0.249</w:t>
            </w:r>
          </w:p>
        </w:tc>
        <w:tc>
          <w:tcPr>
            <w:tcW w:type="dxa" w:w="1701"/>
            <w:vAlign w:val="center"/>
            <w:shd w:fill="F7F8F9"/>
            <w:tcMar>
              <w:top w:w="75" w:type="dxa"/>
              <w:bottom w:w="75" w:type="dxa"/>
              <w:left w:w="75" w:type="dxa"/>
              <w:right w:w="75" w:type="dxa"/>
            </w:tcMar>
          </w:tcPr>
          <w:p>
            <w:pPr>
              <w:spacing w:after="40" w:before="40"/>
            </w:pPr>
            <w:r>
              <w:rPr>
                <w:b w:val="0"/>
                <w:sz w:val="18"/>
              </w:rPr>
              <w:t>-0.700</w:t>
            </w:r>
          </w:p>
        </w:tc>
        <w:tc>
          <w:tcPr>
            <w:tcW w:type="dxa" w:w="1701"/>
            <w:vAlign w:val="center"/>
            <w:shd w:fill="F7F8F9"/>
            <w:tcMar>
              <w:top w:w="75" w:type="dxa"/>
              <w:bottom w:w="75" w:type="dxa"/>
              <w:left w:w="75" w:type="dxa"/>
              <w:right w:w="75" w:type="dxa"/>
            </w:tcMar>
          </w:tcPr>
          <w:p>
            <w:pPr>
              <w:spacing w:after="40" w:before="40"/>
            </w:pPr>
            <w:r>
              <w:rPr>
                <w:b w:val="0"/>
                <w:sz w:val="18"/>
              </w:rPr>
              <w:t>0.000</w:t>
            </w:r>
          </w:p>
        </w:tc>
        <w:tc>
          <w:tcPr>
            <w:tcW w:type="dxa" w:w="1701"/>
            <w:vAlign w:val="center"/>
            <w:shd w:fill="F7F8F9"/>
            <w:tcMar>
              <w:top w:w="75" w:type="dxa"/>
              <w:bottom w:w="75" w:type="dxa"/>
              <w:left w:w="75" w:type="dxa"/>
              <w:right w:w="75" w:type="dxa"/>
            </w:tcMar>
          </w:tcPr>
          <w:p>
            <w:pPr>
              <w:spacing w:after="40" w:before="40"/>
            </w:pPr>
            <w:r>
              <w:rPr>
                <w:b w:val="0"/>
                <w:sz w:val="18"/>
              </w:rPr>
              <w:t>0.600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Outcome</w:t>
            </w:r>
          </w:p>
        </w:tc>
        <w:tc>
          <w:tcPr>
            <w:tcW w:type="dxa" w:w="1701"/>
            <w:vAlign w:val="center"/>
            <w:shd w:fill="FFFFFF"/>
            <w:tcMar>
              <w:top w:w="75" w:type="dxa"/>
              <w:bottom w:w="75" w:type="dxa"/>
              <w:left w:w="75" w:type="dxa"/>
              <w:right w:w="75" w:type="dxa"/>
            </w:tcMar>
          </w:tcPr>
          <w:p>
            <w:pPr>
              <w:spacing w:after="40" w:before="40"/>
            </w:pPr>
            <w:r>
              <w:rPr>
                <w:b w:val="0"/>
                <w:sz w:val="18"/>
              </w:rPr>
              <w:t>0.481</w:t>
            </w:r>
          </w:p>
        </w:tc>
        <w:tc>
          <w:tcPr>
            <w:tcW w:type="dxa" w:w="1701"/>
            <w:vAlign w:val="center"/>
            <w:shd w:fill="FFFFFF"/>
            <w:tcMar>
              <w:top w:w="75" w:type="dxa"/>
              <w:bottom w:w="75" w:type="dxa"/>
              <w:left w:w="75" w:type="dxa"/>
              <w:right w:w="75" w:type="dxa"/>
            </w:tcMar>
          </w:tcPr>
          <w:p>
            <w:pPr>
              <w:spacing w:after="40" w:before="40"/>
            </w:pPr>
            <w:r>
              <w:rPr>
                <w:b w:val="0"/>
                <w:sz w:val="18"/>
              </w:rPr>
              <w:t>2.024</w:t>
            </w:r>
          </w:p>
        </w:tc>
        <w:tc>
          <w:tcPr>
            <w:tcW w:type="dxa" w:w="1701"/>
            <w:vAlign w:val="center"/>
            <w:shd w:fill="FFFFFF"/>
            <w:tcMar>
              <w:top w:w="75" w:type="dxa"/>
              <w:bottom w:w="75" w:type="dxa"/>
              <w:left w:w="75" w:type="dxa"/>
              <w:right w:w="75" w:type="dxa"/>
            </w:tcMar>
          </w:tcPr>
          <w:p>
            <w:pPr>
              <w:spacing w:after="40" w:before="40"/>
            </w:pPr>
            <w:r>
              <w:rPr>
                <w:b w:val="0"/>
                <w:sz w:val="18"/>
              </w:rPr>
              <w:t>-4.000</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6.000</w:t>
            </w:r>
          </w:p>
        </w:tc>
      </w:tr>
    </w:tbl>
    <w:p>
      <w:pPr>
        <w:spacing w:after="0"/>
      </w:pPr>
    </w:p>
    <w:p>
      <w:pPr>
        <w:pStyle w:val="Heading2"/>
      </w:pPr>
      <w:r>
        <w:t>Regression 2 2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701"/>
        <w:gridCol w:w="1701"/>
        <w:gridCol w:w="1701"/>
        <w:gridCol w:w="1701"/>
        <w:gridCol w:w="1701"/>
      </w:tblGrid>
      <w:tr>
        <w:trPr>
          <w:cantSplit/>
          <w:tblHeader/>
        </w:trPr>
        <w:tc>
          <w:tcPr>
            <w:tcW w:type="dxa" w:w="1361"/>
            <w:vAlign w:val="center"/>
            <w:shd w:fill="E8EDF1"/>
            <w:tcMar>
              <w:top w:w="75" w:type="dxa"/>
              <w:bottom w:w="75" w:type="dxa"/>
              <w:left w:w="75" w:type="dxa"/>
              <w:right w:w="75" w:type="dxa"/>
            </w:tcMar>
          </w:tcPr>
          <w:p>
            <w:pPr>
              <w:spacing w:after="40" w:before="40"/>
            </w:pPr>
            <w:r>
              <w:rPr>
                <w:b/>
                <w:sz w:val="18"/>
              </w:rPr>
              <w:t>Variable</w:t>
            </w:r>
          </w:p>
        </w:tc>
        <w:tc>
          <w:tcPr>
            <w:tcW w:type="dxa" w:w="1701"/>
            <w:vAlign w:val="center"/>
            <w:shd w:fill="E8EDF1"/>
            <w:tcMar>
              <w:top w:w="75" w:type="dxa"/>
              <w:bottom w:w="75" w:type="dxa"/>
              <w:left w:w="75" w:type="dxa"/>
              <w:right w:w="75" w:type="dxa"/>
            </w:tcMar>
          </w:tcPr>
          <w:p>
            <w:pPr>
              <w:spacing w:after="40" w:before="40"/>
            </w:pPr>
            <w:r>
              <w:rPr>
                <w:b/>
                <w:sz w:val="18"/>
              </w:rPr>
              <w:t>Mean</w:t>
            </w:r>
          </w:p>
        </w:tc>
        <w:tc>
          <w:tcPr>
            <w:tcW w:type="dxa" w:w="1701"/>
            <w:vAlign w:val="center"/>
            <w:shd w:fill="E8EDF1"/>
            <w:tcMar>
              <w:top w:w="75" w:type="dxa"/>
              <w:bottom w:w="75" w:type="dxa"/>
              <w:left w:w="75" w:type="dxa"/>
              <w:right w:w="75" w:type="dxa"/>
            </w:tcMar>
          </w:tcPr>
          <w:p>
            <w:pPr>
              <w:spacing w:after="40" w:before="40"/>
            </w:pPr>
            <w:r>
              <w:rPr>
                <w:b/>
                <w:sz w:val="18"/>
              </w:rPr>
              <w:t>SD</w:t>
            </w:r>
          </w:p>
        </w:tc>
        <w:tc>
          <w:tcPr>
            <w:tcW w:type="dxa" w:w="1701"/>
            <w:vAlign w:val="center"/>
            <w:shd w:fill="E8EDF1"/>
            <w:tcMar>
              <w:top w:w="75" w:type="dxa"/>
              <w:bottom w:w="75" w:type="dxa"/>
              <w:left w:w="75" w:type="dxa"/>
              <w:right w:w="75" w:type="dxa"/>
            </w:tcMar>
          </w:tcPr>
          <w:p>
            <w:pPr>
              <w:spacing w:after="40" w:before="40"/>
            </w:pPr>
            <w:r>
              <w:rPr>
                <w:b/>
                <w:sz w:val="18"/>
              </w:rPr>
              <w:t>Minimum</w:t>
            </w:r>
          </w:p>
        </w:tc>
        <w:tc>
          <w:tcPr>
            <w:tcW w:type="dxa" w:w="1701"/>
            <w:vAlign w:val="center"/>
            <w:shd w:fill="E8EDF1"/>
            <w:tcMar>
              <w:top w:w="75" w:type="dxa"/>
              <w:bottom w:w="75" w:type="dxa"/>
              <w:left w:w="75" w:type="dxa"/>
              <w:right w:w="75" w:type="dxa"/>
            </w:tcMar>
          </w:tcPr>
          <w:p>
            <w:pPr>
              <w:spacing w:after="40" w:before="40"/>
            </w:pPr>
            <w:r>
              <w:rPr>
                <w:b/>
                <w:sz w:val="18"/>
              </w:rPr>
              <w:t>Median</w:t>
            </w:r>
          </w:p>
        </w:tc>
        <w:tc>
          <w:tcPr>
            <w:tcW w:type="dxa" w:w="1701"/>
            <w:vAlign w:val="center"/>
            <w:shd w:fill="E8EDF1"/>
            <w:tcMar>
              <w:top w:w="75" w:type="dxa"/>
              <w:bottom w:w="75" w:type="dxa"/>
              <w:left w:w="75" w:type="dxa"/>
              <w:right w:w="75" w:type="dxa"/>
            </w:tcMar>
          </w:tcPr>
          <w:p>
            <w:pPr>
              <w:spacing w:after="40" w:before="40"/>
            </w:pPr>
            <w:r>
              <w:rPr>
                <w:b/>
                <w:sz w:val="18"/>
              </w:rPr>
              <w:t>Maximum</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x1</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1.739</w:t>
            </w:r>
          </w:p>
        </w:tc>
        <w:tc>
          <w:tcPr>
            <w:tcW w:type="dxa" w:w="1701"/>
            <w:vAlign w:val="center"/>
            <w:shd w:fill="FFFFFF"/>
            <w:tcMar>
              <w:top w:w="75" w:type="dxa"/>
              <w:bottom w:w="75" w:type="dxa"/>
              <w:left w:w="75" w:type="dxa"/>
              <w:right w:w="75" w:type="dxa"/>
            </w:tcMar>
          </w:tcPr>
          <w:p>
            <w:pPr>
              <w:spacing w:after="40" w:before="40"/>
            </w:pPr>
            <w:r>
              <w:rPr>
                <w:b w:val="0"/>
                <w:sz w:val="18"/>
              </w:rPr>
              <w:t>-4.027</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4.027</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x2</w:t>
            </w:r>
          </w:p>
        </w:tc>
        <w:tc>
          <w:tcPr>
            <w:tcW w:type="dxa" w:w="1701"/>
            <w:vAlign w:val="center"/>
            <w:shd w:fill="F7F8F9"/>
            <w:tcMar>
              <w:top w:w="75" w:type="dxa"/>
              <w:bottom w:w="75" w:type="dxa"/>
              <w:left w:w="75" w:type="dxa"/>
              <w:right w:w="75" w:type="dxa"/>
            </w:tcMar>
          </w:tcPr>
          <w:p>
            <w:pPr>
              <w:spacing w:after="40" w:before="40"/>
            </w:pPr>
            <w:r>
              <w:rPr>
                <w:b w:val="0"/>
                <w:sz w:val="18"/>
              </w:rPr>
              <w:t>0.000</w:t>
            </w:r>
          </w:p>
        </w:tc>
        <w:tc>
          <w:tcPr>
            <w:tcW w:type="dxa" w:w="1701"/>
            <w:vAlign w:val="center"/>
            <w:shd w:fill="F7F8F9"/>
            <w:tcMar>
              <w:top w:w="75" w:type="dxa"/>
              <w:bottom w:w="75" w:type="dxa"/>
              <w:left w:w="75" w:type="dxa"/>
              <w:right w:w="75" w:type="dxa"/>
            </w:tcMar>
          </w:tcPr>
          <w:p>
            <w:pPr>
              <w:spacing w:after="40" w:before="40"/>
            </w:pPr>
            <w:r>
              <w:rPr>
                <w:b w:val="0"/>
                <w:sz w:val="18"/>
              </w:rPr>
              <w:t>1.520</w:t>
            </w:r>
          </w:p>
        </w:tc>
        <w:tc>
          <w:tcPr>
            <w:tcW w:type="dxa" w:w="1701"/>
            <w:vAlign w:val="center"/>
            <w:shd w:fill="F7F8F9"/>
            <w:tcMar>
              <w:top w:w="75" w:type="dxa"/>
              <w:bottom w:w="75" w:type="dxa"/>
              <w:left w:w="75" w:type="dxa"/>
              <w:right w:w="75" w:type="dxa"/>
            </w:tcMar>
          </w:tcPr>
          <w:p>
            <w:pPr>
              <w:spacing w:after="40" w:before="40"/>
            </w:pPr>
            <w:r>
              <w:rPr>
                <w:b w:val="0"/>
                <w:sz w:val="18"/>
              </w:rPr>
              <w:t>-8.000</w:t>
            </w:r>
          </w:p>
        </w:tc>
        <w:tc>
          <w:tcPr>
            <w:tcW w:type="dxa" w:w="1701"/>
            <w:vAlign w:val="center"/>
            <w:shd w:fill="F7F8F9"/>
            <w:tcMar>
              <w:top w:w="75" w:type="dxa"/>
              <w:bottom w:w="75" w:type="dxa"/>
              <w:left w:w="75" w:type="dxa"/>
              <w:right w:w="75" w:type="dxa"/>
            </w:tcMar>
          </w:tcPr>
          <w:p>
            <w:pPr>
              <w:spacing w:after="40" w:before="40"/>
            </w:pPr>
            <w:r>
              <w:rPr>
                <w:b w:val="0"/>
                <w:sz w:val="18"/>
              </w:rPr>
              <w:t>0.000</w:t>
            </w:r>
          </w:p>
        </w:tc>
        <w:tc>
          <w:tcPr>
            <w:tcW w:type="dxa" w:w="1701"/>
            <w:vAlign w:val="center"/>
            <w:shd w:fill="F7F8F9"/>
            <w:tcMar>
              <w:top w:w="75" w:type="dxa"/>
              <w:bottom w:w="75" w:type="dxa"/>
              <w:left w:w="75" w:type="dxa"/>
              <w:right w:w="75" w:type="dxa"/>
            </w:tcMar>
          </w:tcPr>
          <w:p>
            <w:pPr>
              <w:spacing w:after="40" w:before="40"/>
            </w:pPr>
            <w:r>
              <w:rPr>
                <w:b w:val="0"/>
                <w:sz w:val="18"/>
              </w:rPr>
              <w:t>8.000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x3</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0.354</w:t>
            </w:r>
          </w:p>
        </w:tc>
        <w:tc>
          <w:tcPr>
            <w:tcW w:type="dxa" w:w="1701"/>
            <w:vAlign w:val="center"/>
            <w:shd w:fill="FFFFFF"/>
            <w:tcMar>
              <w:top w:w="75" w:type="dxa"/>
              <w:bottom w:w="75" w:type="dxa"/>
              <w:left w:w="75" w:type="dxa"/>
              <w:right w:w="75" w:type="dxa"/>
            </w:tcMar>
          </w:tcPr>
          <w:p>
            <w:pPr>
              <w:spacing w:after="40" w:before="40"/>
            </w:pPr>
            <w:r>
              <w:rPr>
                <w:b w:val="0"/>
                <w:sz w:val="18"/>
              </w:rPr>
              <w:t>-1.000</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1.000</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x4</w:t>
            </w:r>
          </w:p>
        </w:tc>
        <w:tc>
          <w:tcPr>
            <w:tcW w:type="dxa" w:w="1701"/>
            <w:vAlign w:val="center"/>
            <w:shd w:fill="F7F8F9"/>
            <w:tcMar>
              <w:top w:w="75" w:type="dxa"/>
              <w:bottom w:w="75" w:type="dxa"/>
              <w:left w:w="75" w:type="dxa"/>
              <w:right w:w="75" w:type="dxa"/>
            </w:tcMar>
          </w:tcPr>
          <w:p>
            <w:pPr>
              <w:spacing w:after="40" w:before="40"/>
            </w:pPr>
            <w:r>
              <w:rPr>
                <w:b w:val="0"/>
                <w:sz w:val="18"/>
              </w:rPr>
              <w:t>0.525</w:t>
            </w:r>
          </w:p>
        </w:tc>
        <w:tc>
          <w:tcPr>
            <w:tcW w:type="dxa" w:w="1701"/>
            <w:vAlign w:val="center"/>
            <w:shd w:fill="F7F8F9"/>
            <w:tcMar>
              <w:top w:w="75" w:type="dxa"/>
              <w:bottom w:w="75" w:type="dxa"/>
              <w:left w:w="75" w:type="dxa"/>
              <w:right w:w="75" w:type="dxa"/>
            </w:tcMar>
          </w:tcPr>
          <w:p>
            <w:pPr>
              <w:spacing w:after="40" w:before="40"/>
            </w:pPr>
            <w:r>
              <w:rPr>
                <w:b w:val="0"/>
                <w:sz w:val="18"/>
              </w:rPr>
              <w:t>0.175</w:t>
            </w:r>
          </w:p>
        </w:tc>
        <w:tc>
          <w:tcPr>
            <w:tcW w:type="dxa" w:w="1701"/>
            <w:vAlign w:val="center"/>
            <w:shd w:fill="F7F8F9"/>
            <w:tcMar>
              <w:top w:w="75" w:type="dxa"/>
              <w:bottom w:w="75" w:type="dxa"/>
              <w:left w:w="75" w:type="dxa"/>
              <w:right w:w="75" w:type="dxa"/>
            </w:tcMar>
          </w:tcPr>
          <w:p>
            <w:pPr>
              <w:spacing w:after="40" w:before="40"/>
            </w:pPr>
            <w:r>
              <w:rPr>
                <w:b w:val="0"/>
                <w:sz w:val="18"/>
              </w:rPr>
              <w:t>0.000</w:t>
            </w:r>
          </w:p>
        </w:tc>
        <w:tc>
          <w:tcPr>
            <w:tcW w:type="dxa" w:w="1701"/>
            <w:vAlign w:val="center"/>
            <w:shd w:fill="F7F8F9"/>
            <w:tcMar>
              <w:top w:w="75" w:type="dxa"/>
              <w:bottom w:w="75" w:type="dxa"/>
              <w:left w:w="75" w:type="dxa"/>
              <w:right w:w="75" w:type="dxa"/>
            </w:tcMar>
          </w:tcPr>
          <w:p>
            <w:pPr>
              <w:spacing w:after="40" w:before="40"/>
            </w:pPr>
            <w:r>
              <w:rPr>
                <w:b w:val="0"/>
                <w:sz w:val="18"/>
              </w:rPr>
              <w:t>0.600</w:t>
            </w:r>
          </w:p>
        </w:tc>
        <w:tc>
          <w:tcPr>
            <w:tcW w:type="dxa" w:w="1701"/>
            <w:vAlign w:val="center"/>
            <w:shd w:fill="F7F8F9"/>
            <w:tcMar>
              <w:top w:w="75" w:type="dxa"/>
              <w:bottom w:w="75" w:type="dxa"/>
              <w:left w:w="75" w:type="dxa"/>
              <w:right w:w="75" w:type="dxa"/>
            </w:tcMar>
          </w:tcPr>
          <w:p>
            <w:pPr>
              <w:spacing w:after="40" w:before="40"/>
            </w:pPr>
            <w:r>
              <w:rPr>
                <w:b w:val="0"/>
                <w:sz w:val="18"/>
              </w:rPr>
              <w:t>0.800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x5</w:t>
            </w:r>
          </w:p>
        </w:tc>
        <w:tc>
          <w:tcPr>
            <w:tcW w:type="dxa" w:w="1701"/>
            <w:vAlign w:val="center"/>
            <w:shd w:fill="FFFFFF"/>
            <w:tcMar>
              <w:top w:w="75" w:type="dxa"/>
              <w:bottom w:w="75" w:type="dxa"/>
              <w:left w:w="75" w:type="dxa"/>
              <w:right w:w="75" w:type="dxa"/>
            </w:tcMar>
          </w:tcPr>
          <w:p>
            <w:pPr>
              <w:spacing w:after="40" w:before="40"/>
            </w:pPr>
            <w:r>
              <w:rPr>
                <w:b w:val="0"/>
                <w:sz w:val="18"/>
              </w:rPr>
              <w:t>1.877</w:t>
            </w:r>
          </w:p>
        </w:tc>
        <w:tc>
          <w:tcPr>
            <w:tcW w:type="dxa" w:w="1701"/>
            <w:vAlign w:val="center"/>
            <w:shd w:fill="FFFFFF"/>
            <w:tcMar>
              <w:top w:w="75" w:type="dxa"/>
              <w:bottom w:w="75" w:type="dxa"/>
              <w:left w:w="75" w:type="dxa"/>
              <w:right w:w="75" w:type="dxa"/>
            </w:tcMar>
          </w:tcPr>
          <w:p>
            <w:pPr>
              <w:spacing w:after="40" w:before="40"/>
            </w:pPr>
            <w:r>
              <w:rPr>
                <w:b w:val="0"/>
                <w:sz w:val="18"/>
              </w:rPr>
              <w:t>0.644</w:t>
            </w:r>
          </w:p>
        </w:tc>
        <w:tc>
          <w:tcPr>
            <w:tcW w:type="dxa" w:w="1701"/>
            <w:vAlign w:val="center"/>
            <w:shd w:fill="FFFFFF"/>
            <w:tcMar>
              <w:top w:w="75" w:type="dxa"/>
              <w:bottom w:w="75" w:type="dxa"/>
              <w:left w:w="75" w:type="dxa"/>
              <w:right w:w="75" w:type="dxa"/>
            </w:tcMar>
          </w:tcPr>
          <w:p>
            <w:pPr>
              <w:spacing w:after="40" w:before="40"/>
            </w:pPr>
            <w:r>
              <w:rPr>
                <w:b w:val="0"/>
                <w:sz w:val="18"/>
              </w:rPr>
              <w:t>0.500</w:t>
            </w:r>
          </w:p>
        </w:tc>
        <w:tc>
          <w:tcPr>
            <w:tcW w:type="dxa" w:w="1701"/>
            <w:vAlign w:val="center"/>
            <w:shd w:fill="FFFFFF"/>
            <w:tcMar>
              <w:top w:w="75" w:type="dxa"/>
              <w:bottom w:w="75" w:type="dxa"/>
              <w:left w:w="75" w:type="dxa"/>
              <w:right w:w="75" w:type="dxa"/>
            </w:tcMar>
          </w:tcPr>
          <w:p>
            <w:pPr>
              <w:spacing w:after="40" w:before="40"/>
            </w:pPr>
            <w:r>
              <w:rPr>
                <w:b w:val="0"/>
                <w:sz w:val="18"/>
              </w:rPr>
              <w:t>1.900</w:t>
            </w:r>
          </w:p>
        </w:tc>
        <w:tc>
          <w:tcPr>
            <w:tcW w:type="dxa" w:w="1701"/>
            <w:vAlign w:val="center"/>
            <w:shd w:fill="FFFFFF"/>
            <w:tcMar>
              <w:top w:w="75" w:type="dxa"/>
              <w:bottom w:w="75" w:type="dxa"/>
              <w:left w:w="75" w:type="dxa"/>
              <w:right w:w="75" w:type="dxa"/>
            </w:tcMar>
          </w:tcPr>
          <w:p>
            <w:pPr>
              <w:spacing w:after="40" w:before="40"/>
            </w:pPr>
            <w:r>
              <w:rPr>
                <w:b w:val="0"/>
                <w:sz w:val="18"/>
              </w:rPr>
              <w:t>3.700</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x6</w:t>
            </w:r>
          </w:p>
        </w:tc>
        <w:tc>
          <w:tcPr>
            <w:tcW w:type="dxa" w:w="1701"/>
            <w:vAlign w:val="center"/>
            <w:shd w:fill="F7F8F9"/>
            <w:tcMar>
              <w:top w:w="75" w:type="dxa"/>
              <w:bottom w:w="75" w:type="dxa"/>
              <w:left w:w="75" w:type="dxa"/>
              <w:right w:w="75" w:type="dxa"/>
            </w:tcMar>
          </w:tcPr>
          <w:p>
            <w:pPr>
              <w:spacing w:after="40" w:before="40"/>
            </w:pPr>
            <w:r>
              <w:rPr>
                <w:b w:val="0"/>
                <w:sz w:val="18"/>
              </w:rPr>
              <w:t>0.971</w:t>
            </w:r>
          </w:p>
        </w:tc>
        <w:tc>
          <w:tcPr>
            <w:tcW w:type="dxa" w:w="1701"/>
            <w:vAlign w:val="center"/>
            <w:shd w:fill="F7F8F9"/>
            <w:tcMar>
              <w:top w:w="75" w:type="dxa"/>
              <w:bottom w:w="75" w:type="dxa"/>
              <w:left w:w="75" w:type="dxa"/>
              <w:right w:w="75" w:type="dxa"/>
            </w:tcMar>
          </w:tcPr>
          <w:p>
            <w:pPr>
              <w:spacing w:after="40" w:before="40"/>
            </w:pPr>
            <w:r>
              <w:rPr>
                <w:b w:val="0"/>
                <w:sz w:val="18"/>
              </w:rPr>
              <w:t>0.439</w:t>
            </w:r>
          </w:p>
        </w:tc>
        <w:tc>
          <w:tcPr>
            <w:tcW w:type="dxa" w:w="1701"/>
            <w:vAlign w:val="center"/>
            <w:shd w:fill="F7F8F9"/>
            <w:tcMar>
              <w:top w:w="75" w:type="dxa"/>
              <w:bottom w:w="75" w:type="dxa"/>
              <w:left w:w="75" w:type="dxa"/>
              <w:right w:w="75" w:type="dxa"/>
            </w:tcMar>
          </w:tcPr>
          <w:p>
            <w:pPr>
              <w:spacing w:after="40" w:before="40"/>
            </w:pPr>
            <w:r>
              <w:rPr>
                <w:b w:val="0"/>
                <w:sz w:val="18"/>
              </w:rPr>
              <w:t>0.200</w:t>
            </w:r>
          </w:p>
        </w:tc>
        <w:tc>
          <w:tcPr>
            <w:tcW w:type="dxa" w:w="1701"/>
            <w:vAlign w:val="center"/>
            <w:shd w:fill="F7F8F9"/>
            <w:tcMar>
              <w:top w:w="75" w:type="dxa"/>
              <w:bottom w:w="75" w:type="dxa"/>
              <w:left w:w="75" w:type="dxa"/>
              <w:right w:w="75" w:type="dxa"/>
            </w:tcMar>
          </w:tcPr>
          <w:p>
            <w:pPr>
              <w:spacing w:after="40" w:before="40"/>
            </w:pPr>
            <w:r>
              <w:rPr>
                <w:b w:val="0"/>
                <w:sz w:val="18"/>
              </w:rPr>
              <w:t>0.900</w:t>
            </w:r>
          </w:p>
        </w:tc>
        <w:tc>
          <w:tcPr>
            <w:tcW w:type="dxa" w:w="1701"/>
            <w:vAlign w:val="center"/>
            <w:shd w:fill="F7F8F9"/>
            <w:tcMar>
              <w:top w:w="75" w:type="dxa"/>
              <w:bottom w:w="75" w:type="dxa"/>
              <w:left w:w="75" w:type="dxa"/>
              <w:right w:w="75" w:type="dxa"/>
            </w:tcMar>
          </w:tcPr>
          <w:p>
            <w:pPr>
              <w:spacing w:after="40" w:before="40"/>
            </w:pPr>
            <w:r>
              <w:rPr>
                <w:b w:val="0"/>
                <w:sz w:val="18"/>
              </w:rPr>
              <w:t>2.200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x7</w:t>
            </w:r>
          </w:p>
        </w:tc>
        <w:tc>
          <w:tcPr>
            <w:tcW w:type="dxa" w:w="1701"/>
            <w:vAlign w:val="center"/>
            <w:shd w:fill="FFFFFF"/>
            <w:tcMar>
              <w:top w:w="75" w:type="dxa"/>
              <w:bottom w:w="75" w:type="dxa"/>
              <w:left w:w="75" w:type="dxa"/>
              <w:right w:w="75" w:type="dxa"/>
            </w:tcMar>
          </w:tcPr>
          <w:p>
            <w:pPr>
              <w:spacing w:after="40" w:before="40"/>
            </w:pPr>
            <w:r>
              <w:rPr>
                <w:b w:val="0"/>
                <w:sz w:val="18"/>
              </w:rPr>
              <w:t>0.198</w:t>
            </w:r>
          </w:p>
        </w:tc>
        <w:tc>
          <w:tcPr>
            <w:tcW w:type="dxa" w:w="1701"/>
            <w:vAlign w:val="center"/>
            <w:shd w:fill="FFFFFF"/>
            <w:tcMar>
              <w:top w:w="75" w:type="dxa"/>
              <w:bottom w:w="75" w:type="dxa"/>
              <w:left w:w="75" w:type="dxa"/>
              <w:right w:w="75" w:type="dxa"/>
            </w:tcMar>
          </w:tcPr>
          <w:p>
            <w:pPr>
              <w:spacing w:after="40" w:before="40"/>
            </w:pPr>
            <w:r>
              <w:rPr>
                <w:b w:val="0"/>
                <w:sz w:val="18"/>
              </w:rPr>
              <w:t>0.131</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0.200</w:t>
            </w:r>
          </w:p>
        </w:tc>
        <w:tc>
          <w:tcPr>
            <w:tcW w:type="dxa" w:w="1701"/>
            <w:vAlign w:val="center"/>
            <w:shd w:fill="FFFFFF"/>
            <w:tcMar>
              <w:top w:w="75" w:type="dxa"/>
              <w:bottom w:w="75" w:type="dxa"/>
              <w:left w:w="75" w:type="dxa"/>
              <w:right w:w="75" w:type="dxa"/>
            </w:tcMar>
          </w:tcPr>
          <w:p>
            <w:pPr>
              <w:spacing w:after="40" w:before="40"/>
            </w:pPr>
            <w:r>
              <w:rPr>
                <w:b w:val="0"/>
                <w:sz w:val="18"/>
              </w:rPr>
              <w:t>0.600</w:t>
            </w:r>
          </w:p>
        </w:tc>
      </w:tr>
      <w:tr>
        <w:trPr>
          <w:cantSplit/>
        </w:trPr>
        <w:tc>
          <w:tcPr>
            <w:tcW w:type="dxa" w:w="1361"/>
            <w:vAlign w:val="center"/>
            <w:shd w:fill="F7F8F9"/>
            <w:tcMar>
              <w:top w:w="75" w:type="dxa"/>
              <w:bottom w:w="75" w:type="dxa"/>
              <w:left w:w="75" w:type="dxa"/>
              <w:right w:w="75" w:type="dxa"/>
            </w:tcMar>
          </w:tcPr>
          <w:p>
            <w:pPr>
              <w:spacing w:after="40" w:before="40"/>
            </w:pPr>
            <w:r>
              <w:rPr>
                <w:b w:val="0"/>
                <w:sz w:val="18"/>
              </w:rPr>
              <w:t>x8</w:t>
            </w:r>
          </w:p>
        </w:tc>
        <w:tc>
          <w:tcPr>
            <w:tcW w:type="dxa" w:w="1701"/>
            <w:vAlign w:val="center"/>
            <w:shd w:fill="F7F8F9"/>
            <w:tcMar>
              <w:top w:w="75" w:type="dxa"/>
              <w:bottom w:w="75" w:type="dxa"/>
              <w:left w:w="75" w:type="dxa"/>
              <w:right w:w="75" w:type="dxa"/>
            </w:tcMar>
          </w:tcPr>
          <w:p>
            <w:pPr>
              <w:spacing w:after="40" w:before="40"/>
            </w:pPr>
            <w:r>
              <w:rPr>
                <w:b w:val="0"/>
                <w:sz w:val="18"/>
              </w:rPr>
              <w:t>0.410</w:t>
            </w:r>
          </w:p>
        </w:tc>
        <w:tc>
          <w:tcPr>
            <w:tcW w:type="dxa" w:w="1701"/>
            <w:vAlign w:val="center"/>
            <w:shd w:fill="F7F8F9"/>
            <w:tcMar>
              <w:top w:w="75" w:type="dxa"/>
              <w:bottom w:w="75" w:type="dxa"/>
              <w:left w:w="75" w:type="dxa"/>
              <w:right w:w="75" w:type="dxa"/>
            </w:tcMar>
          </w:tcPr>
          <w:p>
            <w:pPr>
              <w:spacing w:after="40" w:before="40"/>
            </w:pPr>
            <w:r>
              <w:rPr>
                <w:b w:val="0"/>
                <w:sz w:val="18"/>
              </w:rPr>
              <w:t>0.194</w:t>
            </w:r>
          </w:p>
        </w:tc>
        <w:tc>
          <w:tcPr>
            <w:tcW w:type="dxa" w:w="1701"/>
            <w:vAlign w:val="center"/>
            <w:shd w:fill="F7F8F9"/>
            <w:tcMar>
              <w:top w:w="75" w:type="dxa"/>
              <w:bottom w:w="75" w:type="dxa"/>
              <w:left w:w="75" w:type="dxa"/>
              <w:right w:w="75" w:type="dxa"/>
            </w:tcMar>
          </w:tcPr>
          <w:p>
            <w:pPr>
              <w:spacing w:after="40" w:before="40"/>
            </w:pPr>
            <w:r>
              <w:rPr>
                <w:b w:val="0"/>
                <w:sz w:val="18"/>
              </w:rPr>
              <w:t>0.000</w:t>
            </w:r>
          </w:p>
        </w:tc>
        <w:tc>
          <w:tcPr>
            <w:tcW w:type="dxa" w:w="1701"/>
            <w:vAlign w:val="center"/>
            <w:shd w:fill="F7F8F9"/>
            <w:tcMar>
              <w:top w:w="75" w:type="dxa"/>
              <w:bottom w:w="75" w:type="dxa"/>
              <w:left w:w="75" w:type="dxa"/>
              <w:right w:w="75" w:type="dxa"/>
            </w:tcMar>
          </w:tcPr>
          <w:p>
            <w:pPr>
              <w:spacing w:after="40" w:before="40"/>
            </w:pPr>
            <w:r>
              <w:rPr>
                <w:b w:val="0"/>
                <w:sz w:val="18"/>
              </w:rPr>
              <w:t>0.400</w:t>
            </w:r>
          </w:p>
        </w:tc>
        <w:tc>
          <w:tcPr>
            <w:tcW w:type="dxa" w:w="1701"/>
            <w:vAlign w:val="center"/>
            <w:shd w:fill="F7F8F9"/>
            <w:tcMar>
              <w:top w:w="75" w:type="dxa"/>
              <w:bottom w:w="75" w:type="dxa"/>
              <w:left w:w="75" w:type="dxa"/>
              <w:right w:w="75" w:type="dxa"/>
            </w:tcMar>
          </w:tcPr>
          <w:p>
            <w:pPr>
              <w:spacing w:after="40" w:before="40"/>
            </w:pPr>
            <w:r>
              <w:rPr>
                <w:b w:val="0"/>
                <w:sz w:val="18"/>
              </w:rPr>
              <w:t>0.800</w:t>
            </w:r>
          </w:p>
        </w:tc>
      </w:tr>
      <w:tr>
        <w:trPr>
          <w:cantSplit/>
        </w:trPr>
        <w:tc>
          <w:tcPr>
            <w:tcW w:type="dxa" w:w="1361"/>
            <w:vAlign w:val="center"/>
            <w:shd w:fill="FFFFFF"/>
            <w:tcMar>
              <w:top w:w="75" w:type="dxa"/>
              <w:bottom w:w="75" w:type="dxa"/>
              <w:left w:w="75" w:type="dxa"/>
              <w:right w:w="75" w:type="dxa"/>
            </w:tcMar>
          </w:tcPr>
          <w:p>
            <w:pPr>
              <w:spacing w:after="40" w:before="40"/>
            </w:pPr>
            <w:r>
              <w:rPr>
                <w:b w:val="0"/>
                <w:sz w:val="18"/>
              </w:rPr>
              <w:t>Outcome</w:t>
            </w:r>
          </w:p>
        </w:tc>
        <w:tc>
          <w:tcPr>
            <w:tcW w:type="dxa" w:w="1701"/>
            <w:vAlign w:val="center"/>
            <w:shd w:fill="FFFFFF"/>
            <w:tcMar>
              <w:top w:w="75" w:type="dxa"/>
              <w:bottom w:w="75" w:type="dxa"/>
              <w:left w:w="75" w:type="dxa"/>
              <w:right w:w="75" w:type="dxa"/>
            </w:tcMar>
          </w:tcPr>
          <w:p>
            <w:pPr>
              <w:spacing w:after="40" w:before="40"/>
            </w:pPr>
            <w:r>
              <w:rPr>
                <w:b w:val="0"/>
                <w:sz w:val="18"/>
              </w:rPr>
              <w:t>1.481</w:t>
            </w:r>
          </w:p>
        </w:tc>
        <w:tc>
          <w:tcPr>
            <w:tcW w:type="dxa" w:w="1701"/>
            <w:vAlign w:val="center"/>
            <w:shd w:fill="FFFFFF"/>
            <w:tcMar>
              <w:top w:w="75" w:type="dxa"/>
              <w:bottom w:w="75" w:type="dxa"/>
              <w:left w:w="75" w:type="dxa"/>
              <w:right w:w="75" w:type="dxa"/>
            </w:tcMar>
          </w:tcPr>
          <w:p>
            <w:pPr>
              <w:spacing w:after="40" w:before="40"/>
            </w:pPr>
            <w:r>
              <w:rPr>
                <w:b w:val="0"/>
                <w:sz w:val="18"/>
              </w:rPr>
              <w:t>1.393</w:t>
            </w:r>
          </w:p>
        </w:tc>
        <w:tc>
          <w:tcPr>
            <w:tcW w:type="dxa" w:w="1701"/>
            <w:vAlign w:val="center"/>
            <w:shd w:fill="FFFFFF"/>
            <w:tcMar>
              <w:top w:w="75" w:type="dxa"/>
              <w:bottom w:w="75" w:type="dxa"/>
              <w:left w:w="75" w:type="dxa"/>
              <w:right w:w="75" w:type="dxa"/>
            </w:tcMar>
          </w:tcPr>
          <w:p>
            <w:pPr>
              <w:spacing w:after="40" w:before="40"/>
            </w:pPr>
            <w:r>
              <w:rPr>
                <w:b w:val="0"/>
                <w:sz w:val="18"/>
              </w:rPr>
              <w:t>0.000</w:t>
            </w:r>
          </w:p>
        </w:tc>
        <w:tc>
          <w:tcPr>
            <w:tcW w:type="dxa" w:w="1701"/>
            <w:vAlign w:val="center"/>
            <w:shd w:fill="FFFFFF"/>
            <w:tcMar>
              <w:top w:w="75" w:type="dxa"/>
              <w:bottom w:w="75" w:type="dxa"/>
              <w:left w:w="75" w:type="dxa"/>
              <w:right w:w="75" w:type="dxa"/>
            </w:tcMar>
          </w:tcPr>
          <w:p>
            <w:pPr>
              <w:spacing w:after="40" w:before="40"/>
            </w:pPr>
            <w:r>
              <w:rPr>
                <w:b w:val="0"/>
                <w:sz w:val="18"/>
              </w:rPr>
              <w:t>1.000</w:t>
            </w:r>
          </w:p>
        </w:tc>
        <w:tc>
          <w:tcPr>
            <w:tcW w:type="dxa" w:w="1701"/>
            <w:vAlign w:val="center"/>
            <w:shd w:fill="FFFFFF"/>
            <w:tcMar>
              <w:top w:w="75" w:type="dxa"/>
              <w:bottom w:w="75" w:type="dxa"/>
              <w:left w:w="75" w:type="dxa"/>
              <w:right w:w="75" w:type="dxa"/>
            </w:tcMar>
          </w:tcPr>
          <w:p>
            <w:pPr>
              <w:spacing w:after="40" w:before="40"/>
            </w:pPr>
            <w:r>
              <w:rPr>
                <w:b w:val="0"/>
                <w:sz w:val="18"/>
              </w:rPr>
              <w:t>7.000</w:t>
            </w:r>
          </w:p>
        </w:tc>
      </w:tr>
    </w:tbl>
    <w:p>
      <w:pPr>
        <w:spacing w:after="0"/>
      </w:pPr>
    </w:p>
    <w:p>
      <w:r>
        <w:t>The model 2.1 outcome mean is positive because FIFA’s first-listed teams outscored their opponents more often in aggregate; it is not evidence that being printed first causes a scoring advantage. Paired predictors in model 2.2 have zero mean by algebraic construction. Full correlation matrices, individual-match prediction tables, confidence intervals, all validation-fold metrics and the VIF tables are supplied as machine-readable Python outputs.</w:t>
      </w:r>
    </w:p>
    <w:sectPr w:rsidR="00FC693F" w:rsidRPr="0006063C" w:rsidSect="00034616">
      <w:footerReference w:type="default" r:id="rId9"/>
      <w:pgSz w:w="11906" w:h="16838"/>
      <w:pgMar w:top="935" w:right="992" w:bottom="90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HIT140 Objective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FIFA World Cup 2026 outcomes with linear regression</dc:title>
  <dc:subject>HIT140 Objective 2 extended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