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Claims Handoff Procedure</w:t>
      </w:r>
    </w:p>
    <w:p>
      <w:r>
        <w:t>Step 1: First notice of loss received by phone.</w:t>
      </w:r>
    </w:p>
    <w:p>
      <w:r>
        <w:t>Step 2: CSR copies details into both the carrier site and the CRM.</w:t>
      </w:r>
    </w:p>
    <w:p>
      <w:r>
        <w:t>Step 3: Adjuster assignment is emailed manually with no SLA.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