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external-driver-pipeline-quick-reference"/>
    <w:p>
      <w:pPr>
        <w:pStyle w:val="Heading1"/>
      </w:pPr>
      <w:r>
        <w:t xml:space="preserve">External Driver Pipeline: Quick Reference</w:t>
      </w:r>
    </w:p>
    <w:p>
      <w:pPr>
        <w:pStyle w:val="FirstParagraph"/>
      </w:pPr>
      <w:r>
        <w:t xml:space="preserve">Practical technical reference covering the four extraction tiers, how to run the pipeline in its different modes, what each output file means, and the full registry column reference.</w:t>
      </w:r>
    </w:p>
    <w:p>
      <w:r>
        <w:pict>
          <v:rect style="width:0;height:1.5pt" o:hralign="center" o:hrstd="t" o:hr="t"/>
        </w:pict>
      </w:r>
    </w:p>
    <w:bookmarkStart w:id="20" w:name="the-four-extraction-tiers"/>
    <w:p>
      <w:pPr>
        <w:pStyle w:val="Heading2"/>
      </w:pPr>
      <w:r>
        <w:t xml:space="preserve">1. The Four Extraction Tiers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Tier 1, Direct</w:t>
      </w:r>
      <w:r>
        <w:t xml:space="preserve">: the value sits right on a URL, either a clean JSON/CSV API or a plain HTML table. No login, no key, nothing blocking access.</w:t>
      </w:r>
    </w:p>
    <w:p>
      <w:pPr>
        <w:pStyle w:val="Compact"/>
        <w:numPr>
          <w:ilvl w:val="1"/>
          <w:numId w:val="1002"/>
        </w:numPr>
      </w:pPr>
      <w:r>
        <w:t xml:space="preserve">A named connector handles sources with a known API shape (e.g. </w:t>
      </w:r>
      <w:r>
        <w:rPr>
          <w:rStyle w:val="VerbatimChar"/>
        </w:rPr>
        <w:t xml:space="preserve">bcb_sgs</w:t>
      </w:r>
      <w:r>
        <w:t xml:space="preserve"> </w:t>
      </w:r>
      <w:r>
        <w:t xml:space="preserve">for Brazil’s Central Bank).</w:t>
      </w:r>
    </w:p>
    <w:p>
      <w:pPr>
        <w:pStyle w:val="Compact"/>
        <w:numPr>
          <w:ilvl w:val="1"/>
          <w:numId w:val="1002"/>
        </w:numPr>
      </w:pPr>
      <w:r>
        <w:t xml:space="preserve">Sources with no dedicated connector fall through to a generic table scorer, which scans every table on the page and picks whichever one looks most like a real date-and-number time series.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Tier 2, Embedded file</w:t>
      </w:r>
      <w:r>
        <w:t xml:space="preserve">: the value is inside an Excel, CSV, or PDF file linked from a page, and that file’s exact address often changes over time (a new dated or hashed filename each edition).</w:t>
      </w:r>
    </w:p>
    <w:p>
      <w:pPr>
        <w:pStyle w:val="Compact"/>
        <w:numPr>
          <w:ilvl w:val="1"/>
          <w:numId w:val="1003"/>
        </w:numPr>
      </w:pPr>
      <w:r>
        <w:t xml:space="preserve">The pipeline discovers the current file link on the landing page every run, rather than hardcoding it, downloads it, then locates the right series inside a workbook whose header layout is often messy (banner rows, footnotes, merged cells).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Tier 3, Multi-page / crawl</w:t>
      </w:r>
      <w:r>
        <w:t xml:space="preserve">: the full history is spread across many separate pages, so the pipeline has to crawl. Four patterns are supported: predictable period URLs, standard pagination, an undocumented JSON feed backing an interactive dashboard, and index-plus-detail page structures.</w:t>
      </w:r>
    </w:p>
    <w:p>
      <w:pPr>
        <w:pStyle w:val="Compact"/>
        <w:numPr>
          <w:ilvl w:val="1"/>
          <w:numId w:val="1004"/>
        </w:numPr>
      </w:pPr>
      <w:r>
        <w:t xml:space="preserve">A crawl that only recovers part of the pages (e.g. 9 of 10) is still accepted as a real, usable result, just labelled with a quality note.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Tier 4, Gated</w:t>
      </w:r>
      <w:r>
        <w:t xml:space="preserve">: something deliberately blocks access, a free API key, a free login portal, or a paid subscription, and each is handled differently:</w:t>
      </w:r>
    </w:p>
    <w:p>
      <w:pPr>
        <w:pStyle w:val="Compact"/>
        <w:numPr>
          <w:ilvl w:val="1"/>
          <w:numId w:val="1005"/>
        </w:numPr>
      </w:pPr>
      <w:r>
        <w:t xml:space="preserve">Free API keys are used automatically when configured; automated self-registration is attempted only for the couple of providers that officially support it.</w:t>
      </w:r>
    </w:p>
    <w:p>
      <w:pPr>
        <w:pStyle w:val="Compact"/>
        <w:numPr>
          <w:ilvl w:val="1"/>
          <w:numId w:val="1005"/>
        </w:numPr>
      </w:pPr>
      <w:r>
        <w:t xml:space="preserve">Free logins get a simple automated attempt only if credentials are already supplied; the pipeline never tries to automate around a CAPTCHA or bypass account creation.</w:t>
      </w:r>
    </w:p>
    <w:p>
      <w:pPr>
        <w:pStyle w:val="Compact"/>
        <w:numPr>
          <w:ilvl w:val="1"/>
          <w:numId w:val="1005"/>
        </w:numPr>
      </w:pPr>
      <w:r>
        <w:t xml:space="preserve">Paid/restricted sources are never attempted automatically at all, that is treated as a business decision, not a technical one.</w:t>
      </w:r>
    </w:p>
    <w:p>
      <w:pPr>
        <w:pStyle w:val="FirstParagraph"/>
      </w:pPr>
      <w:r>
        <w:rPr>
          <w:b/>
          <w:bCs/>
        </w:rPr>
        <w:t xml:space="preserve">The tiers reflect how much engineering effort is needed to reliably extract a source, not how important the data is.</w:t>
      </w:r>
      <w:r>
        <w:t xml:space="preserve"> </w:t>
      </w:r>
      <w:r>
        <w:t xml:space="preserve">A driver is always tried at its declared tier first, then escalated through the others if that fails.</w:t>
      </w:r>
    </w:p>
    <w:p>
      <w:r>
        <w:pict>
          <v:rect style="width:0;height:1.5pt" o:hralign="center" o:hrstd="t" o:hr="t"/>
        </w:pict>
      </w:r>
    </w:p>
    <w:bookmarkEnd w:id="20"/>
    <w:bookmarkStart w:id="24" w:name="how-to-run-the-pipeline"/>
    <w:p>
      <w:pPr>
        <w:pStyle w:val="Heading2"/>
      </w:pPr>
      <w:r>
        <w:t xml:space="preserve">2. How to Run the Pipeline</w:t>
      </w:r>
    </w:p>
    <w:p>
      <w:pPr>
        <w:pStyle w:val="FirstParagraph"/>
      </w:pPr>
      <w:r>
        <w:t xml:space="preserve">Run every command from inside the</w:t>
      </w:r>
      <w:r>
        <w:t xml:space="preserve"> </w:t>
      </w:r>
      <w:r>
        <w:rPr>
          <w:rStyle w:val="VerbatimChar"/>
        </w:rPr>
        <w:t xml:space="preserve">external variable extraction/</w:t>
      </w:r>
      <w:r>
        <w:t xml:space="preserve"> </w:t>
      </w:r>
      <w:r>
        <w:t xml:space="preserve">folder, since the default config path and every path inside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are relative to it.</w:t>
      </w:r>
    </w:p>
    <w:bookmarkStart w:id="21" w:name="X3b5e962d7e2393b87ab52548a7a5d2f8a18e320"/>
    <w:p>
      <w:pPr>
        <w:pStyle w:val="Heading3"/>
      </w:pPr>
      <w:r>
        <w:t xml:space="preserve">Running the sample registry (small test file)</w:t>
      </w:r>
    </w:p>
    <w:p>
      <w:pPr>
        <w:pStyle w:val="FirstParagraph"/>
      </w:pPr>
      <w:r>
        <w:rPr>
          <w:rStyle w:val="VerbatimChar"/>
        </w:rPr>
        <w:t xml:space="preserve">input/sample_registry.csv</w:t>
      </w:r>
      <w:r>
        <w:t xml:space="preserve"> </w:t>
      </w:r>
      <w:r>
        <w:t xml:space="preserve">currently holds 5 rows, kept from prior testing:</w:t>
      </w:r>
      <w:r>
        <w:t xml:space="preserve"> </w:t>
      </w:r>
      <w:r>
        <w:rPr>
          <w:rStyle w:val="VerbatimChar"/>
        </w:rPr>
        <w:t xml:space="preserve">LA_PLP_FX</w:t>
      </w:r>
      <w:r>
        <w:t xml:space="preserve">,</w:t>
      </w:r>
      <w:r>
        <w:t xml:space="preserve"> </w:t>
      </w:r>
      <w:r>
        <w:rPr>
          <w:rStyle w:val="VerbatimChar"/>
        </w:rPr>
        <w:t xml:space="preserve">AU_PLT_SUBST</w:t>
      </w:r>
      <w:r>
        <w:t xml:space="preserve">,</w:t>
      </w:r>
      <w:r>
        <w:t xml:space="preserve"> </w:t>
      </w:r>
      <w:r>
        <w:rPr>
          <w:rStyle w:val="VerbatimChar"/>
        </w:rPr>
        <w:t xml:space="preserve">AU_PLT_SUBST_FB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GLOBAL_BENZENE_CRUDE_OIL_PRICE_EIA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GLOBAL_BENZENE_CRUDE_OIL_PRICE_EIA_ALT</w:t>
      </w:r>
      <w:r>
        <w:t xml:space="preserve"> </w:t>
      </w:r>
      <w:r>
        <w:t xml:space="preserve">(the last one was auto-committed by a live AI-verified alternate-source discovery).</w:t>
      </w:r>
    </w:p>
    <w:p>
      <w:pPr>
        <w:pStyle w:val="SourceCode"/>
      </w:pPr>
      <w:r>
        <w:rPr>
          <w:rStyle w:val="CommentTok"/>
        </w:rPr>
        <w:t xml:space="preserve"># dry run first, validates the plan without any network calls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run_pipeline.py </w:t>
      </w:r>
      <w:r>
        <w:rPr>
          <w:rStyle w:val="AttributeTok"/>
        </w:rPr>
        <w:t xml:space="preserve">--registry</w:t>
      </w:r>
      <w:r>
        <w:rPr>
          <w:rStyle w:val="NormalTok"/>
        </w:rPr>
        <w:t xml:space="preserve"> input/sample_registry.csv </w:t>
      </w:r>
      <w:r>
        <w:rPr>
          <w:rStyle w:val="AttributeTok"/>
        </w:rPr>
        <w:t xml:space="preserve">--no-llm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br/>
      </w:r>
      <w:r>
        <w:br/>
      </w:r>
      <w:r>
        <w:rPr>
          <w:rStyle w:val="CommentTok"/>
        </w:rPr>
        <w:t xml:space="preserve"># full run, deterministic only (no AI calls)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run_pipeline.py </w:t>
      </w:r>
      <w:r>
        <w:rPr>
          <w:rStyle w:val="AttributeTok"/>
        </w:rPr>
        <w:t xml:space="preserve">--registry</w:t>
      </w:r>
      <w:r>
        <w:rPr>
          <w:rStyle w:val="NormalTok"/>
        </w:rPr>
        <w:t xml:space="preserve"> input/sample_registry.csv </w:t>
      </w:r>
      <w:r>
        <w:rPr>
          <w:rStyle w:val="AttributeTok"/>
        </w:rPr>
        <w:t xml:space="preserve">--no-llm</w:t>
      </w:r>
      <w:r>
        <w:br/>
      </w:r>
      <w:r>
        <w:br/>
      </w:r>
      <w:r>
        <w:rPr>
          <w:rStyle w:val="CommentTok"/>
        </w:rPr>
        <w:t xml:space="preserve"># full run, with AI assistance enabled (needs a valid ANTHROPIC_API_KEY in .env)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run_pipeline.py </w:t>
      </w:r>
      <w:r>
        <w:rPr>
          <w:rStyle w:val="AttributeTok"/>
        </w:rPr>
        <w:t xml:space="preserve">--registry</w:t>
      </w:r>
      <w:r>
        <w:rPr>
          <w:rStyle w:val="NormalTok"/>
        </w:rPr>
        <w:t xml:space="preserve"> input/sample_registry.csv</w:t>
      </w:r>
    </w:p>
    <w:p>
      <w:pPr>
        <w:pStyle w:val="FirstParagraph"/>
      </w:pPr>
      <w:r>
        <w:rPr>
          <w:rStyle w:val="VerbatimChar"/>
        </w:rPr>
        <w:t xml:space="preserve">--no-llm</w:t>
      </w:r>
      <w:r>
        <w:t xml:space="preserve"> </w:t>
      </w:r>
      <w:r>
        <w:t xml:space="preserve">is worth keeping for quick isolated tests, since without it, the auto-enrichment step will try to match the entire shared seed file (</w:t>
      </w:r>
      <w:r>
        <w:rPr>
          <w:rStyle w:val="VerbatimChar"/>
        </w:rPr>
        <w:t xml:space="preserve">input/new_drivers.xlsx</w:t>
      </w:r>
      <w:r>
        <w:t xml:space="preserve">) against whatever registry is passed in, not just the rows already there.</w:t>
      </w:r>
    </w:p>
    <w:bookmarkEnd w:id="21"/>
    <w:bookmarkStart w:id="22" w:name="running-the-real-full-registry"/>
    <w:p>
      <w:pPr>
        <w:pStyle w:val="Heading3"/>
      </w:pPr>
      <w:r>
        <w:t xml:space="preserve">Running the real, full registry</w:t>
      </w:r>
    </w:p>
    <w:p>
      <w:pPr>
        <w:pStyle w:val="SourceCode"/>
      </w:pPr>
      <w:r>
        <w:rPr>
          <w:rStyle w:val="CommentTok"/>
        </w:rPr>
        <w:t xml:space="preserve"># dry run first, always sensible before a full run at this scale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run_pipeline.py </w:t>
      </w:r>
      <w:r>
        <w:rPr>
          <w:rStyle w:val="AttributeTok"/>
        </w:rPr>
        <w:t xml:space="preserve">--dry-run</w:t>
      </w:r>
      <w:r>
        <w:br/>
      </w:r>
      <w:r>
        <w:br/>
      </w:r>
      <w:r>
        <w:rPr>
          <w:rStyle w:val="CommentTok"/>
        </w:rPr>
        <w:t xml:space="preserve"># full run, everything in input/driver_registry.csv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run_pipeline.py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--registry</w:t>
      </w:r>
      <w:r>
        <w:t xml:space="preserve"> </w:t>
      </w:r>
      <w:r>
        <w:t xml:space="preserve">flag is needed,</w:t>
      </w:r>
      <w:r>
        <w:t xml:space="preserve"> </w:t>
      </w:r>
      <w:r>
        <w:rPr>
          <w:rStyle w:val="VerbatimChar"/>
        </w:rPr>
        <w:t xml:space="preserve">input/driver_registry.csv</w:t>
      </w:r>
      <w:r>
        <w:t xml:space="preserve"> </w:t>
      </w:r>
      <w:r>
        <w:t xml:space="preserve">is the default per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. This registry currently has 473+ rows across 38 commodities, so a full run makes real network calls for every one of them and will take a while. Narrower alternatives: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run_pipeline.py </w:t>
      </w:r>
      <w:r>
        <w:rPr>
          <w:rStyle w:val="AttributeTok"/>
        </w:rPr>
        <w:t xml:space="preserve">--commodity</w:t>
      </w:r>
      <w:r>
        <w:rPr>
          <w:rStyle w:val="NormalTok"/>
        </w:rPr>
        <w:t xml:space="preserve"> Poultry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Australia   </w:t>
      </w:r>
      <w:r>
        <w:rPr>
          <w:rStyle w:val="CommentTok"/>
        </w:rPr>
        <w:t xml:space="preserve"># one commodity/region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run_pipeline.py </w:t>
      </w:r>
      <w:r>
        <w:rPr>
          <w:rStyle w:val="AttributeTok"/>
        </w:rPr>
        <w:t xml:space="preserve">--driver-id</w:t>
      </w:r>
      <w:r>
        <w:rPr>
          <w:rStyle w:val="NormalTok"/>
        </w:rPr>
        <w:t xml:space="preserve"> LA_PLP_FX                    </w:t>
      </w:r>
      <w:r>
        <w:rPr>
          <w:rStyle w:val="CommentTok"/>
        </w:rPr>
        <w:t xml:space="preserve"># one driver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run_pipeline_parallel.py </w:t>
      </w:r>
      <w:r>
        <w:rPr>
          <w:rStyle w:val="AttributeTok"/>
        </w:rPr>
        <w:t xml:space="preserve">--max-workers</w:t>
      </w:r>
      <w:r>
        <w:rPr>
          <w:rStyle w:val="NormalTok"/>
        </w:rPr>
        <w:t xml:space="preserve"> 12                </w:t>
      </w:r>
      <w:r>
        <w:rPr>
          <w:rStyle w:val="CommentTok"/>
        </w:rPr>
        <w:t xml:space="preserve"># same registry, concurrent</w:t>
      </w:r>
    </w:p>
    <w:bookmarkEnd w:id="22"/>
    <w:bookmarkStart w:id="23" w:name="what-runs-by-default-with-zero-flags"/>
    <w:p>
      <w:pPr>
        <w:pStyle w:val="Heading3"/>
      </w:pPr>
      <w:r>
        <w:t xml:space="preserve">What runs by default, with zero flags</w:t>
      </w:r>
    </w:p>
    <w:p>
      <w:pPr>
        <w:pStyle w:val="FirstParagraph"/>
      </w:pPr>
      <w:r>
        <w:t xml:space="preserve">Typing exactly</w:t>
      </w:r>
      <w:r>
        <w:t xml:space="preserve"> </w:t>
      </w:r>
      <w:r>
        <w:rPr>
          <w:rStyle w:val="VerbatimChar"/>
        </w:rPr>
        <w:t xml:space="preserve">python run_pipeline.py</w:t>
      </w:r>
      <w:r>
        <w:t xml:space="preserve"> </w:t>
      </w:r>
      <w:r>
        <w:t xml:space="preserve">with no arguments uses: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Config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config/config.yaml</w:t>
      </w:r>
      <w:r>
        <w:t xml:space="preserve"> </w:t>
      </w:r>
      <w:r>
        <w:t xml:space="preserve">(the default, unless</w:t>
      </w:r>
      <w:r>
        <w:t xml:space="preserve"> </w:t>
      </w:r>
      <w:r>
        <w:rPr>
          <w:rStyle w:val="VerbatimChar"/>
        </w:rPr>
        <w:t xml:space="preserve">--config</w:t>
      </w:r>
      <w:r>
        <w:t xml:space="preserve"> </w:t>
      </w:r>
      <w:r>
        <w:t xml:space="preserve">overrides it).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Registry</w:t>
      </w:r>
      <w:r>
        <w:t xml:space="preserve">:</w:t>
      </w:r>
      <w:r>
        <w:t xml:space="preserve"> </w:t>
      </w:r>
      <w:r>
        <w:rPr>
          <w:rStyle w:val="VerbatimChar"/>
        </w:rPr>
        <w:t xml:space="preserve">input/driver_registry.csv</w:t>
      </w:r>
      <w:r>
        <w:t xml:space="preserve">, the full real registry, not the sample file.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 window</w:t>
      </w:r>
      <w:r>
        <w:t xml:space="preserve">:</w:t>
      </w:r>
      <w:r>
        <w:t xml:space="preserve"> </w:t>
      </w:r>
      <w:r>
        <w:rPr>
          <w:rStyle w:val="VerbatimChar"/>
        </w:rPr>
        <w:t xml:space="preserve">run.start_date</w:t>
      </w:r>
      <w:r>
        <w:t xml:space="preserve"> </w:t>
      </w:r>
      <w:r>
        <w:t xml:space="preserve">from config (2014-01-01 by default) through today, unless a driver’s own</w:t>
      </w:r>
      <w:r>
        <w:t xml:space="preserve"> </w:t>
      </w:r>
      <w:r>
        <w:rPr>
          <w:rStyle w:val="VerbatimChar"/>
        </w:rPr>
        <w:t xml:space="preserve">history_from</w:t>
      </w:r>
      <w:r>
        <w:t xml:space="preserve"> </w:t>
      </w:r>
      <w:r>
        <w:t xml:space="preserve">overrides the start.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Every primary driver</w:t>
      </w:r>
      <w:r>
        <w:t xml:space="preserve"> </w:t>
      </w:r>
      <w:r>
        <w:t xml:space="preserve">in the registry (fallback-only rows are excluded from the queue, they’re only invoked on demand).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assistance enabled</w:t>
      </w:r>
      <w:r>
        <w:t xml:space="preserve">, since</w:t>
      </w:r>
      <w:r>
        <w:t xml:space="preserve"> </w:t>
      </w:r>
      <w:r>
        <w:rPr>
          <w:rStyle w:val="VerbatimChar"/>
        </w:rPr>
        <w:t xml:space="preserve">llm.enabled: 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and an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is present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b/>
          <w:bCs/>
        </w:rPr>
        <w:t xml:space="preserve">but note</w:t>
      </w:r>
      <w:r>
        <w:t xml:space="preserve">: that key currently holds a placeholder value (it was intentionally sanitized before a GitHub push), so any real LLM call will fail authentication right now. That failure is caught gracefully, exactly like</w:t>
      </w:r>
      <w:r>
        <w:t xml:space="preserve"> </w:t>
      </w:r>
      <w:r>
        <w:rPr>
          <w:rStyle w:val="VerbatimChar"/>
        </w:rPr>
        <w:t xml:space="preserve">--no-llm</w:t>
      </w:r>
      <w:r>
        <w:t xml:space="preserve">, the pipeline just runs deterministically, it just won’t get any AI-assisted rescue attempts until a real key is restored locally.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Auto-enrichment</w:t>
      </w:r>
      <w:r>
        <w:t xml:space="preserve">, since</w:t>
      </w:r>
      <w:r>
        <w:t xml:space="preserve"> </w:t>
      </w:r>
      <w:r>
        <w:rPr>
          <w:rStyle w:val="VerbatimChar"/>
        </w:rPr>
        <w:t xml:space="preserve">registry.auto_enrich_new_drivers: true</w:t>
      </w:r>
      <w:r>
        <w:t xml:space="preserve"> </w:t>
      </w:r>
      <w:r>
        <w:t xml:space="preserve">by default, it will attempt to match</w:t>
      </w:r>
      <w:r>
        <w:t xml:space="preserve"> </w:t>
      </w:r>
      <w:r>
        <w:rPr>
          <w:rStyle w:val="VerbatimChar"/>
        </w:rPr>
        <w:t xml:space="preserve">input/new_drivers.xlsx</w:t>
      </w:r>
      <w:r>
        <w:t xml:space="preserve"> </w:t>
      </w:r>
      <w:r>
        <w:t xml:space="preserve">against the registry before the main run starts (though, per the point above, any actual LLM-dependent enrichment will currently fail silently for the same reason).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output-files-what-each-one-means"/>
    <w:p>
      <w:pPr>
        <w:pStyle w:val="Heading2"/>
      </w:pPr>
      <w:r>
        <w:t xml:space="preserve">3. Output Files, What Each One Means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output/monthly/monthly_panel.csv</w:t>
            </w:r>
            <w:r>
              <w:t xml:space="preserve"> </w:t>
            </w:r>
            <w:r>
              <w:t xml:space="preserve">(and/or</w:t>
            </w:r>
            <w:r>
              <w:t xml:space="preserve"> </w:t>
            </w:r>
            <w:r>
              <w:rPr>
                <w:rStyle w:val="VerbatimChar"/>
              </w:rPr>
              <w:t xml:space="preserve">.parquet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main output.</w:t>
            </w:r>
            <w:r>
              <w:t xml:space="preserve"> </w:t>
            </w:r>
            <w:r>
              <w:t xml:space="preserve">Long format, one row per driver per month, with full quality and provenance columns. Format controlled by</w:t>
            </w:r>
            <w:r>
              <w:t xml:space="preserve"> </w:t>
            </w:r>
            <w:r>
              <w:rPr>
                <w:rStyle w:val="VerbatimChar"/>
              </w:rPr>
              <w:t xml:space="preserve">output.format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config.yaml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output/monthly/wide_&lt;commodity&gt;_&lt;region&gt;.csv</w:t>
            </w:r>
          </w:p>
        </w:tc>
        <w:tc>
          <w:tcPr/>
          <w:p>
            <w:pPr>
              <w:pStyle w:val="Compact"/>
            </w:pPr>
            <w:r>
              <w:t xml:space="preserve">Same data pivoted wide, months down the side, one column per driver. Only written if</w:t>
            </w:r>
            <w:r>
              <w:t xml:space="preserve"> </w:t>
            </w:r>
            <w:r>
              <w:rPr>
                <w:rStyle w:val="VerbatimChar"/>
              </w:rPr>
              <w:t xml:space="preserve">output.write_wide_panel: true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output/interim/&lt;driver_id&gt;_observations.csv</w:t>
            </w:r>
          </w:p>
        </w:tc>
        <w:tc>
          <w:tcPr/>
          <w:p>
            <w:pPr>
              <w:pStyle w:val="Compact"/>
            </w:pPr>
            <w:r>
              <w:t xml:space="preserve">The raw, pre-rollup</w:t>
            </w:r>
            <w:r>
              <w:t xml:space="preserve"> </w:t>
            </w:r>
            <w:r>
              <w:rPr>
                <w:rStyle w:val="VerbatimChar"/>
              </w:rPr>
              <w:t xml:space="preserve">(obs_date, value)</w:t>
            </w:r>
            <w:r>
              <w:t xml:space="preserve"> </w:t>
            </w:r>
            <w:r>
              <w:t xml:space="preserve">pairs behind each driver’s monthly figures, kept so the math can be independently re-checked.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output/run_manifest.json</w:t>
            </w:r>
          </w:p>
        </w:tc>
        <w:tc>
          <w:tcPr/>
          <w:p>
            <w:pPr>
              <w:pStyle w:val="Compact"/>
            </w:pPr>
            <w:r>
              <w:t xml:space="preserve">Per-driver audit log: which tier won, outcome, timing, and any quality notes.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output/human_in_the_loop_tasks.yaml</w:t>
            </w:r>
          </w:p>
        </w:tc>
        <w:tc>
          <w:tcPr/>
          <w:p>
            <w:pPr>
              <w:pStyle w:val="Compact"/>
            </w:pPr>
            <w:r>
              <w:t xml:space="preserve">The open list of things a person needs to do (get a credential, or drop a manual file) for drivers nothing automated could resolve.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output/fallback_audit_log.csv</w:t>
            </w:r>
          </w:p>
        </w:tc>
        <w:tc>
          <w:tcPr/>
          <w:p>
            <w:pPr>
              <w:pStyle w:val="Compact"/>
            </w:pPr>
            <w:r>
              <w:t xml:space="preserve">Which registered fallback targets were actually exercised this run, and what they returned, so fallback reliance isn’t just trusted blindly over 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output/rejected_alternate_sources.yaml</w:t>
            </w:r>
          </w:p>
        </w:tc>
        <w:tc>
          <w:tcPr/>
          <w:p>
            <w:pPr>
              <w:pStyle w:val="Compact"/>
            </w:pPr>
            <w:r>
              <w:t xml:space="preserve">AI-proposed sources that were tried live and failed verification, kept so the same failed idea isn’t re-proposed (and re-billed) on a future run.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output/success_flags.xlsx</w:t>
            </w:r>
          </w:p>
        </w:tc>
        <w:tc>
          <w:tcPr/>
          <w:p>
            <w:pPr>
              <w:pStyle w:val="Compact"/>
            </w:pPr>
            <w:r>
              <w:t xml:space="preserve">Which drivers cleared the success threshold; read back by</w:t>
            </w:r>
            <w:r>
              <w:t xml:space="preserve"> </w:t>
            </w:r>
            <w:r>
              <w:rPr>
                <w:rStyle w:val="VerbatimChar"/>
              </w:rPr>
              <w:t xml:space="preserve">--skip-flagged</w:t>
            </w:r>
            <w:r>
              <w:t xml:space="preserve"> </w:t>
            </w:r>
            <w:r>
              <w:t xml:space="preserve">to reuse cached results instead of re-fetching.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output/monthly/run_report_&lt;timestamp&gt;.xlsx</w:t>
            </w:r>
          </w:p>
        </w:tc>
        <w:tc>
          <w:tcPr/>
          <w:p>
            <w:pPr>
              <w:pStyle w:val="Compact"/>
            </w:pPr>
            <w:r>
              <w:t xml:space="preserve">A human-readable Excel summary of the run: outcomes, tier breakdown, per-commodity metrics.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output/raw/</w:t>
            </w:r>
          </w:p>
        </w:tc>
        <w:tc>
          <w:tcPr/>
          <w:p>
            <w:pPr>
              <w:pStyle w:val="Compact"/>
            </w:pPr>
            <w:r>
              <w:t xml:space="preserve">The working download cache (every fetched file plus a</w:t>
            </w:r>
            <w:r>
              <w:t xml:space="preserve"> </w:t>
            </w:r>
            <w:r>
              <w:rPr>
                <w:rStyle w:val="VerbatimChar"/>
              </w:rPr>
              <w:t xml:space="preserve">.source.txt</w:t>
            </w:r>
            <w:r>
              <w:t xml:space="preserve"> </w:t>
            </w:r>
            <w:r>
              <w:t xml:space="preserve">provenance sidecar: URL, fetch time, content type, size). Can be evicted/reused over 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output/raw_archive/&lt;run-timestamp&gt;/</w:t>
            </w:r>
          </w:p>
        </w:tc>
        <w:tc>
          <w:tcPr/>
          <w:p>
            <w:pPr>
              <w:pStyle w:val="Compact"/>
            </w:pPr>
            <w:r>
              <w:t xml:space="preserve">A permanent, timestamped copy of the exact file behind every successful result, protected from the working cache’s eviction.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output/pipeline_&lt;timestamp&gt;.log</w:t>
            </w:r>
          </w:p>
        </w:tc>
        <w:tc>
          <w:tcPr/>
          <w:p>
            <w:pPr>
              <w:pStyle w:val="Compact"/>
            </w:pPr>
            <w:r>
              <w:t xml:space="preserve">The full log output for that specific run.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registry-columns-reference"/>
    <w:p>
      <w:pPr>
        <w:pStyle w:val="Heading2"/>
      </w:pPr>
      <w:r>
        <w:t xml:space="preserve">4. Registry Columns Reference</w:t>
      </w:r>
    </w:p>
    <w:p>
      <w:pPr>
        <w:pStyle w:val="FirstParagraph"/>
      </w:pPr>
      <w:r>
        <w:t xml:space="preserve">Every row in</w:t>
      </w:r>
      <w:r>
        <w:t xml:space="preserve"> </w:t>
      </w:r>
      <w:r>
        <w:rPr>
          <w:rStyle w:val="VerbatimChar"/>
        </w:rPr>
        <w:t xml:space="preserve">driver_registry.csv</w:t>
      </w:r>
      <w:r>
        <w:t xml:space="preserve"> </w:t>
      </w:r>
      <w:r>
        <w:t xml:space="preserve">is one commodity x region x driver combination. Columns marked</w:t>
      </w:r>
      <w:r>
        <w:t xml:space="preserve"> </w:t>
      </w:r>
      <w:r>
        <w:rPr>
          <w:b/>
          <w:bCs/>
        </w:rPr>
        <w:t xml:space="preserve">(behavioral)</w:t>
      </w:r>
      <w:r>
        <w:t xml:space="preserve"> </w:t>
      </w:r>
      <w:r>
        <w:t xml:space="preserve">actually change what the code does; columns marked</w:t>
      </w:r>
      <w:r>
        <w:t xml:space="preserve"> </w:t>
      </w:r>
      <w:r>
        <w:rPr>
          <w:b/>
          <w:bCs/>
        </w:rPr>
        <w:t xml:space="preserve">(descriptive)</w:t>
      </w:r>
      <w:r>
        <w:t xml:space="preserve"> </w:t>
      </w:r>
      <w:r>
        <w:t xml:space="preserve">are carried through for documentation and reporting but don’t alter the cascade itself.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(behavioral)</w:t>
            </w:r>
            <w:r>
              <w:t xml:space="preserve"> </w:t>
            </w:r>
            <w:r>
              <w:t xml:space="preserve">Unique key for this row. Used everywhere: output files,</w:t>
            </w:r>
            <w:r>
              <w:t xml:space="preserve"> </w:t>
            </w:r>
            <w:r>
              <w:rPr>
                <w:rStyle w:val="VerbatimChar"/>
              </w:rPr>
              <w:t xml:space="preserve">--driver-id</w:t>
            </w:r>
            <w:r>
              <w:t xml:space="preserve"> </w:t>
            </w:r>
            <w:r>
              <w:t xml:space="preserve">filtering, fallback references.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commodity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(descriptive)</w:t>
            </w:r>
            <w:r>
              <w:t xml:space="preserve"> </w:t>
            </w:r>
            <w:r>
              <w:t xml:space="preserve">Which commodity this driver is a candidate feature for.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driver_name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(descriptive)</w:t>
            </w:r>
            <w:r>
              <w:t xml:space="preserve"> </w:t>
            </w:r>
            <w:r>
              <w:t xml:space="preserve">Human-readable description of what this driver represents.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(descriptive)</w:t>
            </w:r>
            <w:r>
              <w:t xml:space="preserve"> </w:t>
            </w:r>
            <w:r>
              <w:t xml:space="preserve">Which geographic region or market this driver applies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extraction_tier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(behavioral)</w:t>
            </w:r>
            <w:r>
              <w:t xml:space="preserve"> </w:t>
            </w:r>
            <w:r>
              <w:t xml:space="preserve">The declared difficulty tier (1-4), tried first before any escalation.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tier_confidence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(descriptive)</w:t>
            </w:r>
            <w:r>
              <w:t xml:space="preserve"> </w:t>
            </w:r>
            <w:r>
              <w:t xml:space="preserve">Low/Medium/High confidence in that tier classification. Not read by any cascade logic.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(behavioral)</w:t>
            </w:r>
            <w:r>
              <w:t xml:space="preserve"> </w:t>
            </w:r>
            <w:r>
              <w:t xml:space="preserve">Name of the specific function in</w:t>
            </w:r>
            <w:r>
              <w:t xml:space="preserve"> </w:t>
            </w:r>
            <w:r>
              <w:rPr>
                <w:rStyle w:val="VerbatimChar"/>
              </w:rPr>
              <w:t xml:space="preserve">connectors.py</w:t>
            </w:r>
            <w:r>
              <w:t xml:space="preserve"> </w:t>
            </w:r>
            <w:r>
              <w:t xml:space="preserve">that knows how to fetch this source. Blank means generic extraction logic is used instead.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(descriptive)</w:t>
            </w:r>
            <w:r>
              <w:t xml:space="preserve"> </w:t>
            </w:r>
            <w:r>
              <w:t xml:space="preserve">Human-readable name of the publishing organization.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source_url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(behavioral)</w:t>
            </w:r>
            <w:r>
              <w:t xml:space="preserve"> </w:t>
            </w:r>
            <w:r>
              <w:t xml:space="preserve">The landing page or direct URL the pipeline starts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endpoint_or_locator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(behavioral)</w:t>
            </w:r>
            <w:r>
              <w:t xml:space="preserve"> </w:t>
            </w:r>
            <w:r>
              <w:t xml:space="preserve">A pipe-delimited string carrying connector-specific instructions (series ID, sheet name, filters), parsed field by field.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access_mode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(behavioral)</w:t>
            </w:r>
            <w:r>
              <w:t xml:space="preserve"> </w:t>
            </w:r>
            <w:r>
              <w:t xml:space="preserve">How the source is technically accessed (</w:t>
            </w:r>
            <w:r>
              <w:rPr>
                <w:rStyle w:val="VerbatimChar"/>
              </w:rPr>
              <w:t xml:space="preserve">open_api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html_table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file_download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multipage_scrape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paid_or_restricted</w:t>
            </w:r>
            <w:r>
              <w:t xml:space="preserve">). Each tier handler checks this to decide whether it can handle the row at all.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native_frequency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(behavioral)</w:t>
            </w:r>
            <w:r>
              <w:t xml:space="preserve"> </w:t>
            </w:r>
            <w:r>
              <w:t xml:space="preserve">How often the source actually publishes (Daily/Weekly/Monthly/Quarterly/Annual/Event). Drives the expected-observation-count math behind the Coverage Guard.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rollup_method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(behavioral)</w:t>
            </w:r>
            <w:r>
              <w:t xml:space="preserve"> </w:t>
            </w:r>
            <w:r>
              <w:t xml:space="preserve">How raw observations get aggregated to monthly (</w:t>
            </w:r>
            <w:r>
              <w:rPr>
                <w:rStyle w:val="VerbatimChar"/>
              </w:rPr>
              <w:t xml:space="preserve">mean</w:t>
            </w:r>
            <w:r>
              <w:t xml:space="preserve">/</w:t>
            </w:r>
            <w:r>
              <w:rPr>
                <w:rStyle w:val="VerbatimChar"/>
              </w:rPr>
              <w:t xml:space="preserve">sum</w:t>
            </w:r>
            <w:r>
              <w:t xml:space="preserve">/</w:t>
            </w:r>
            <w:r>
              <w:rPr>
                <w:rStyle w:val="VerbatimChar"/>
              </w:rPr>
              <w:t xml:space="preserve">last</w:t>
            </w:r>
            <w:r>
              <w:t xml:space="preserve">/</w:t>
            </w:r>
            <w:r>
              <w:rPr>
                <w:rStyle w:val="VerbatimChar"/>
              </w:rPr>
              <w:t xml:space="preserve">first</w:t>
            </w:r>
            <w:r>
              <w:t xml:space="preserve">/</w:t>
            </w:r>
            <w:r>
              <w:rPr>
                <w:rStyle w:val="VerbatimChar"/>
              </w:rPr>
              <w:t xml:space="preserve">count</w:t>
            </w:r>
            <w:r>
              <w:t xml:space="preserve">/</w:t>
            </w:r>
            <w:r>
              <w:rPr>
                <w:rStyle w:val="VerbatimChar"/>
              </w:rPr>
              <w:t xml:space="preserve">max</w:t>
            </w:r>
            <w:r>
              <w:t xml:space="preserve">/</w:t>
            </w:r>
            <w:r>
              <w:rPr>
                <w:rStyle w:val="VerbatimChar"/>
              </w:rPr>
              <w:t xml:space="preserve">min</w:t>
            </w:r>
            <w:r>
              <w:t xml:space="preserve">/</w:t>
            </w:r>
            <w:r>
              <w:rPr>
                <w:rStyle w:val="VerbatimChar"/>
              </w:rPr>
              <w:t xml:space="preserve">median</w:t>
            </w:r>
            <w:r>
              <w:t xml:space="preserve">). A modelling decision, not a formatting detail.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(descriptive, protected)</w:t>
            </w:r>
            <w:r>
              <w:t xml:space="preserve"> </w:t>
            </w:r>
            <w:r>
              <w:t xml:space="preserve">The value’s unit of measurement. Always kept from this row, an AI-proposed alternate source is never allowed to override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history_from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(behavioral)</w:t>
            </w:r>
            <w:r>
              <w:t xml:space="preserve"> </w:t>
            </w:r>
            <w:r>
              <w:t xml:space="preserve">Per-driver start date for fetching, overrides the global default (</w:t>
            </w:r>
            <w:r>
              <w:rPr>
                <w:rStyle w:val="VerbatimChar"/>
              </w:rPr>
              <w:t xml:space="preserve">run.start_date</w:t>
            </w:r>
            <w:r>
              <w:t xml:space="preserve">, normally 2014-01-01) when set.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meets_min_history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(descriptive)</w:t>
            </w:r>
            <w:r>
              <w:t xml:space="preserve"> </w:t>
            </w:r>
            <w:r>
              <w:t xml:space="preserve">Y/N flag recording whether this row is believed to satisfy the minimum-history requirement. Not read by any cascade logic; the real check uses the actual fetched data’s span.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update_lag_days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(behavioral)</w:t>
            </w:r>
            <w:r>
              <w:t xml:space="preserve"> </w:t>
            </w:r>
            <w:r>
              <w:t xml:space="preserve">How many days after a period ends the source normally takes to publish. Used in the staleness check (this lag plus two months of slack).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is_proxy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(descriptive)</w:t>
            </w:r>
            <w:r>
              <w:t xml:space="preserve"> </w:t>
            </w:r>
            <w:r>
              <w:t xml:space="preserve">Y/N, whether this driver is a stand-in for the true desired variable rather than the exact thing wanted. Carried through to the output panel.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proxy_note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(descriptive)</w:t>
            </w:r>
            <w:r>
              <w:t xml:space="preserve"> </w:t>
            </w:r>
            <w:r>
              <w:t xml:space="preserve">Free-text explanation of why/how it’s a proxy, and what the gap 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human_in_loop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(behavioral, minor)</w:t>
            </w:r>
            <w:r>
              <w:t xml:space="preserve"> </w:t>
            </w:r>
            <w:r>
              <w:t xml:space="preserve">Y/N flag. Affects which failure label gets reported (</w:t>
            </w:r>
            <w:r>
              <w:rPr>
                <w:rStyle w:val="VerbatimChar"/>
              </w:rPr>
              <w:t xml:space="preserve">blocked_credentials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failed_permanent</w:t>
            </w:r>
            <w:r>
              <w:t xml:space="preserve">) when every tier is exhausted; the human task itself gets written either way.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credential_key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(behavioral)</w:t>
            </w:r>
            <w:r>
              <w:t xml:space="preserve"> </w:t>
            </w:r>
            <w:r>
              <w:t xml:space="preserve">Which</w:t>
            </w:r>
            <w:r>
              <w:t xml:space="preserve"> </w:t>
            </w:r>
            <w:r>
              <w:rPr>
                <w:rStyle w:val="VerbatimChar"/>
              </w:rPr>
              <w:t xml:space="preserve">config.yaml</w:t>
            </w:r>
            <w:r>
              <w:t xml:space="preserve"> </w:t>
            </w:r>
            <w:r>
              <w:t xml:space="preserve">credential key(s) this source needs, pipe-delimited for multi-part credentials (e.g. </w:t>
            </w:r>
            <w:r>
              <w:rPr>
                <w:rStyle w:val="VerbatimChar"/>
              </w:rPr>
              <w:t xml:space="preserve">mla_username\|mla_password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fallback_driver_id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(behavioral)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driver_id</w:t>
            </w:r>
            <w:r>
              <w:t xml:space="preserve"> </w:t>
            </w:r>
            <w:r>
              <w:t xml:space="preserve">of the registered backup to escalate to if this row fails. Also excludes that backup row from the primary run queue.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data_quality_risk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(descriptive)</w:t>
            </w:r>
            <w:r>
              <w:t xml:space="preserve"> </w:t>
            </w:r>
            <w:r>
              <w:t xml:space="preserve">Low/Medium/High rating carried through to the output panel.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transform_hint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(descriptive)</w:t>
            </w:r>
            <w:r>
              <w:t xml:space="preserve"> </w:t>
            </w:r>
            <w:r>
              <w:t xml:space="preserve">A note for the downstream feature-engineering stage on how this raw value should probably be transformed (e.g. </w:t>
            </w:r>
            <w:r>
              <w:t xml:space="preserve">“ratio to poultry price”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(behavioral)</w:t>
            </w:r>
            <w:r>
              <w:t xml:space="preserve"> </w:t>
            </w:r>
            <w:r>
              <w:t xml:space="preserve">Numeric priority used to order the run queue (lower runs first).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enrichment_confidence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(descriptive)</w:t>
            </w:r>
            <w:r>
              <w:t xml:space="preserve"> </w:t>
            </w:r>
            <w:r>
              <w:t xml:space="preserve">Confidence score (0-1) assigned when this row was auto-enriched from the new-drivers seed file.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min_history_years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(behavioral)</w:t>
            </w:r>
            <w:r>
              <w:t xml:space="preserve"> </w:t>
            </w:r>
            <w:r>
              <w:t xml:space="preserve">Per-driver override of the global 8-year quality-gate threshold. Blank means use the global default.</w:t>
            </w:r>
          </w:p>
        </w:tc>
      </w:tr>
    </w:tbl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  <w:jc w:val="both"/>
    </w:pPr>
  </w:style>
  <w:style w:customStyle="1" w:styleId="FirstParagraph" w:type="paragraph">
    <w:name w:val="First Paragraph"/>
    <w:basedOn w:val="BodyText"/>
    <w:next w:val="BodyText"/>
    <w:qFormat/>
    <w:pPr>
      <w:jc w:val="both"/>
    </w:pPr>
  </w:style>
  <w:style w:customStyle="1" w:styleId="Compact" w:type="paragraph">
    <w:name w:val="Compact"/>
    <w:basedOn w:val="BodyText"/>
    <w:qFormat/>
    <w:pPr>
      <w:spacing w:after="36" w:before="36"/>
      <w:jc w:val="both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jc w:val="both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jc w:val="left"/>
    </w:pPr>
    <w:rPr>
      <w:rFonts w:ascii="Consolas" w:hAnsi="Consolas"/>
      <w:sz w:val="19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2026-09-15T10:13:21Z</dcterms:created>
  <dcterms:modified xsi:type="dcterms:W3CDTF">2026-09-15T10:13:21Z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