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Supplementary: Mathematical Justification of LpW and Extended Statistical Tests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Computed from the full n = 500 matched-pair dataset (kvcache_true, FP16 and NF4). All AI scorer data from the repository: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phi3_FP16_claude_scored.xlsx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phi3_FP16_chatgpt.xlsx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,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phi3_FP16_gemini_scored.xlsx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(and NF4 equivalents). Hardware metrics from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phi3_FP16_corrected_500prompts.csv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and NF4 equivalent.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Part 1  Mathematical Justification of the LpW Formula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1.1  The Problem with a Multiplicative Denominator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Section 2.4 of the paper defines LpW as:</w:t>
      </w:r>
    </w:p>
    <w:p>
      <w:pPr>
        <w:shd w:fill="F2F2F2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LpW_i  =  Q_ped,i  /  ( E_net,i  ×  L_i 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natural question is: why multiply E and L rather than add them (possibly with weights), or use only one of them? This section provides the physical derivation that motivates the multiplicative form.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1.2  Physical Derivation from First Principles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P(t)</w:t>
      </w:r>
      <w:r>
        <w:rPr>
          <w:rFonts w:ascii="Arial" w:cs="Arial" w:eastAsia="Arial" w:hAnsi="Arial"/>
          <w:sz w:val="22"/>
          <w:szCs w:val="22"/>
        </w:rPr>
        <w:t xml:space="preserve"> denote the instantaneous GPU power draw during inference trial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P_idle</w:t>
      </w:r>
      <w:r>
        <w:rPr>
          <w:rFonts w:ascii="Arial" w:cs="Arial" w:eastAsia="Arial" w:hAnsi="Arial"/>
          <w:sz w:val="22"/>
          <w:szCs w:val="22"/>
        </w:rPr>
        <w:t xml:space="preserve"> = 81.7 W the measured idle power baseline (Section 4.7.1). Net AI-attributable energy is defined as:</w:t>
      </w:r>
    </w:p>
    <w:p>
      <w:pPr>
        <w:shd w:fill="F2F2F2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E_net,i  =  ∫₀^Lᵢ [ P(t) − P_idle ] dt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Because the T4 GPU operates at approximately constant power during autoregressive generation (verified by CodeCarbon's 1-second sampling), this simplifies to:</w:t>
      </w:r>
    </w:p>
    <w:p>
      <w:pPr>
        <w:shd w:fill="F2F2F2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E_net,i  ≈  ( P̄ − P_idle ) · L_i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P̄</w:t>
      </w:r>
      <w:r>
        <w:rPr>
          <w:rFonts w:ascii="Arial" w:cs="Arial" w:eastAsia="Arial" w:hAnsi="Arial"/>
          <w:sz w:val="22"/>
          <w:szCs w:val="22"/>
        </w:rPr>
        <w:t xml:space="preserve"> is mean power during inference. Substituting:</w:t>
      </w:r>
    </w:p>
    <w:p>
      <w:pPr>
        <w:shd w:fill="F2F2F2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E_net,i × L_i  ≈  ( P̄ − P_idle ) · L_i²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Energy–Delay Product (EDP)</w:t>
      </w:r>
      <w:r>
        <w:rPr>
          <w:rFonts w:ascii="Arial" w:cs="Arial" w:eastAsia="Arial" w:hAnsi="Arial"/>
          <w:sz w:val="22"/>
          <w:szCs w:val="22"/>
        </w:rPr>
        <w:t xml:space="preserve">, a standard figure of merit in power-aware computer architecture introduced by Gonzalez &amp; Horowitz (1996). EDP = E × L is the dominant metric used when both energy consumption and response time impose real costs that the system designer cannot trade off freely — precisely the case in AI-mediated education, where energy scarcity (the Power Barrier) and latency (cognitive load, flow theory) impose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independent</w:t>
      </w:r>
      <w:r>
        <w:rPr>
          <w:rFonts w:ascii="Arial" w:cs="Arial" w:eastAsia="Arial" w:hAnsi="Arial"/>
          <w:sz w:val="22"/>
          <w:szCs w:val="22"/>
        </w:rPr>
        <w:t xml:space="preserve"> constraints on acceptable operation.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1.3  Pedagogical Interpretation of the Denominator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From the learner's perspective, the cost of a single AI feedback event is not just the Joules consumed or the seconds waited — it is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portion of the device's daily energy budget consumed while the learner is cognitively suspended</w:t>
      </w:r>
      <w:r>
        <w:rPr>
          <w:rFonts w:ascii="Arial" w:cs="Arial" w:eastAsia="Arial" w:hAnsi="Arial"/>
          <w:sz w:val="22"/>
          <w:szCs w:val="22"/>
        </w:rPr>
        <w:t xml:space="preserve">. This quantity is:</w:t>
      </w:r>
    </w:p>
    <w:p>
      <w:pPr>
        <w:shd w:fill="F2F2F2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W_learner,i  ≈  P̄ · L_i   (gross battery draw during inference i)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net AI-attributable share of that draw is:</w:t>
      </w:r>
    </w:p>
    <w:p>
      <w:pPr>
        <w:shd w:fill="F2F2F2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E_net,i  =  ( P̄ − P_idle ) · L_i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 the total net AI energy cost during the wait window is:</w:t>
      </w:r>
    </w:p>
    <w:p>
      <w:pPr>
        <w:shd w:fill="F2F2F2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Cost_i  =  E_net,i × L_i  =  ( P̄ − P_idle ) · L_i²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configuration that takes twice as long at the same power draws four times the EDP — correctly penalising slow, energy-hungry systems more harshly than a linear combination would. LpW therefore measures:</w:t>
      </w:r>
    </w:p>
    <w:p>
      <w:pPr>
        <w:shd w:fill="F2F2F2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LpW_i  =  Q_ped,i  /  [ (P̄ − P_idle) · L_i² 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pedagogical yield per unit Energy–Delay Product</w:t>
      </w:r>
      <w:r>
        <w:rPr>
          <w:rFonts w:ascii="Arial" w:cs="Arial" w:eastAsia="Arial" w:hAnsi="Arial"/>
          <w:sz w:val="22"/>
          <w:szCs w:val="22"/>
        </w:rPr>
        <w:t xml:space="preserve"> — maximised by configurations that are simultaneously accurate, fast, and energy-efficient, with no single dimension able to compensate for failure in another.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1.4  Why Not a Weighted Linear Combination?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weighted denominator of the form αE + βL would require choosing α and β in the units of J and s respectively — introducing an arbitrary unit-conversion assumption. By contrast, E × L is dimensionally consistent: the EDP has natural units of J·s, and the LpW metric (units: dimensionless / J·s = J⁻¹·s⁻¹) inherits a clean physical interpretation without free parameters.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Furthermore, a linear combination implies that, for example, halving energy fully compensates for doubling latency (if α = β in normalised units). The multiplicative form correctly captures the asymmetry: doubling latency at constant energy reduces LpW by 2× on the latency axis and also increases the energy cost proportionally, yielding a 4× EDP penalty — which is the correct magnitude when both energy and latency are binding constraints simultaneously.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1.5  Comparison with Alternative Denominator Choices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Table 1 summarises how the three denominator choices (E alone, L alone, E×L) differ in what they reward and what they miss. The LpW formulation is the only one that correctly handles configurations like NF4 — which saves energy but costs latency — without either ignoring one dimension or requiring arbitrary unit normalisation.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1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FP16 vs NF4 verdict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misses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QpJ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Qped / 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NF4 wins (329 J &lt; 369 J)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Ignores 46% latency overhead; NF4 breaks learner 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Qped / 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FP16 wins (9.2 s &lt; 13.4 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Ignores 11% energy penalty; biases toward faster-but-costlier 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LpW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Qped / (E × 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FP16 wins (1.33×)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Nothing — captures joint cost of the learner's full waiting window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1.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Comparison of alternative metric formulations. QpJ = quality per joule; QpS = quality per second; LpW = Learning-per-Watt (quality per EDP). Data from cache-enabled experiment, n = 500 prompts per configuration.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1.6  Relationship to the Power Barrier Concept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Power Barrier defined in Section 2.2 identifies the threshold beyond which inference energy makes timely feedback infeasible. In EDP terms, the Power Barrier is the iso-EDP contour below which a configuration remains viable for a given daily energy budget B and latency tolerance L_max:</w:t>
      </w:r>
    </w:p>
    <w:p>
      <w:pPr>
        <w:shd w:fill="F2F2F2" w:val="clear"/>
        <w:spacing w:after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Power Barrier:  E_net × L  ≤  B · L_max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Configurations above this contour — such as NF4 under cache-disabled inference (EDP ≈ 1,882 J × 49.4 s = 92,970 J·s) — exceed the Power Barrier. Cache-enabled NF4 (329 J × 13.4 s = 4,409 J·s) and FP16 (369 J × 9.2 s = 3,395 J·s) both fall well below it. The LpW metric and the Power Barrier are therefore defined on the same EDP surface, making them complementary rather than competing constructs.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Part 2  Extended Statistical Tests on Qped and LpW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2.1 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primary paper (Section 5.1.3) reports a paired-samples t-test on Qped with t(499) = 7.89, p &lt; .001, Cohen's d = 0.35, and a non-parametric Wilcoxon confirmation. This section provides three additions: (1) explicit 95% confidence intervals on the Qped mean difference, computed both analytically and via bootstrap; (2) per-dimension CIs; and (3) a formal statistical test on LpW itself — the paper's primary metric — which was absent from the original results section.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tests use n = 500 matched pairs (same prompt i evaluated under FP16 and NF4). Qped values are AI-only means (Claude 3.5 Sonnet, GPT-4, Gemini 1.5 Pro; equal-weight average) from the repository scoring sheets, which the paper's sensitivity analysis (Table 6) confirms yield the same 1.33× LpW ratio as the 60/40 human–AI weighted scores. t-critical value for 95% CI: t</w:t>
      </w:r>
      <w:r>
        <w:rPr>
          <w:rFonts w:ascii="Arial" w:cs="Arial" w:eastAsia="Arial" w:hAnsi="Arial"/>
          <w:sz w:val="16"/>
          <w:szCs w:val="16"/>
        </w:rPr>
        <w:t xml:space="preserve">0.025,499</w:t>
      </w:r>
      <w:r>
        <w:rPr>
          <w:rFonts w:ascii="Arial" w:cs="Arial" w:eastAsia="Arial" w:hAnsi="Arial"/>
          <w:sz w:val="22"/>
          <w:szCs w:val="22"/>
        </w:rPr>
        <w:t xml:space="preserve"> = 1.965.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2.2  Confidence Intervals and Tests on Qped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2.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Paired-sample Qped comparison (FP16 − NF4), n = 500 matched pairs. Red values are statistically significant. Bootstrap CIs use B = 10,000 resamples with seed 42.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20"/>
        <w:gridCol w:w="1620"/>
        <w:gridCol w:w="1560"/>
        <w:gridCol w:w="1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FP16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Difference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95% 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Qped mean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8.233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+0.179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[+0.133, +0.225]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Qped 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Bootstrap 95% CI (diff)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[+0.135, +0.226]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t(499)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7.655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 = 1.01×10⁻¹³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Cohen's d (paired)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0.342 (small)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Wilcoxon 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6295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 = 2.26×10⁻¹¹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analytic and bootstrap 95% CIs agree closely ([+0.133, +0.225] vs [+0.135, +0.226]), confirming that the interval is not sensitive to distributional assumptions. The Cohen's d of 0.342 falls in the 'small' range by conventional benchmarks (Cohen 1988), consistent with the paper's characterisation of the Qped gap as modest but reliable and replicable.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2.3  Per-Dimension 95% Confidence Intervals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3.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Per-dimension paired t-tests with 95% CIs on the mean FP16−NF4 difference. All four dimensions are significant at p &lt; 0.001. Effect sizes are homogeneous (d = 0.295–0.368), confirming uniform quality reduction across rubric components rather than selective degradation.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160"/>
        <w:gridCol w:w="1800"/>
        <w:gridCol w:w="11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95% CI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t(499)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8.602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8.425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+0.177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[+0.135, +0.219]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8.239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&lt; 0.001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0.368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8.208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7.967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+0.241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[+0.179, +0.304]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7.614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&lt; 0.001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0.341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7.175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6.950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+0.225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[+0.161, +0.290]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6.842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&lt; 0.001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0.306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8.946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8.874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+0.072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[+0.051, +0.093]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6.607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&lt; 0.001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0.295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smallest absolute gap is on Level Appropriateness (Δ = +0.072), consistent with the ceiling effect reported in Section 4.8.4: both models reliably calibrate register to secondary school level regardless of precision regime. The CI [+0.051, +0.093] confirms this small difference is nonetheless detectable with high precision given n = 500.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2.4  Formal Statistical Test on LpW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paper's primary metric — Learning-per-Watt — was not subjected to a formal significance test in the original results section. Table 4 provides this test. Because LpW values are right-skewed (long tail from low-energy, low-latency outliers), both a parametric paired t-test and a non-parametric Wilcoxon signed-rank test are reported.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4.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Paired-sample LpW comparison (FP16 − NF4), n = 500 matched pairs. The LpW ratio bootstrap CI is computed by resampling paired (LpW_FP16, LpW_NF4) rows and taking their mean ratio. Red values are statistically significant.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20"/>
        <w:gridCol w:w="1620"/>
        <w:gridCol w:w="1560"/>
        <w:gridCol w:w="1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FP16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95% 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LpW mean (×10⁻³)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LpW SD (×10⁻³)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 difference (×10⁻³)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[0.536, 0.700]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LpW ratio FP16/NF4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1.328×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[1.273×, 1.383×]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t(499)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14.819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 = 1.95×10⁻⁴¹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Cohen's d (paired)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0.663 (medium)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Wilcoxon 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3841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 = 6.63×10⁻⁷⁴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LpW difference is highly significant by both tests (t = 14.82, p = 1.95×10</w:t>
      </w:r>
      <w:r>
        <w:rPr>
          <w:rFonts w:ascii="Arial" w:cs="Arial" w:eastAsia="Arial" w:hAnsi="Arial"/>
          <w:sz w:val="16"/>
          <w:szCs w:val="16"/>
        </w:rPr>
        <w:t xml:space="preserve">−41</w:t>
      </w:r>
      <w:r>
        <w:rPr>
          <w:rFonts w:ascii="Arial" w:cs="Arial" w:eastAsia="Arial" w:hAnsi="Arial"/>
          <w:sz w:val="22"/>
          <w:szCs w:val="22"/>
        </w:rPr>
        <w:t xml:space="preserve">; Wilcoxon W = 3841, p = 6.63×10</w:t>
      </w:r>
      <w:r>
        <w:rPr>
          <w:rFonts w:ascii="Arial" w:cs="Arial" w:eastAsia="Arial" w:hAnsi="Arial"/>
          <w:sz w:val="16"/>
          <w:szCs w:val="16"/>
        </w:rPr>
        <w:t xml:space="preserve">−74</w:t>
      </w:r>
      <w:r>
        <w:rPr>
          <w:rFonts w:ascii="Arial" w:cs="Arial" w:eastAsia="Arial" w:hAnsi="Arial"/>
          <w:sz w:val="22"/>
          <w:szCs w:val="22"/>
        </w:rPr>
        <w:t xml:space="preserve">) with a medium effect size (Cohen's d = 0.663). The bootstrap 95% CI on the LpW ratio [1.273×, 1.383×] is narrow and excludes 1.0 with high confidence, formally establishing that the 1.33× FP16 advantage reported in the paper is not a chance fluctuation.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2.5  Interpretation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points follow from these tests.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First, the Qped gap (Δ = +0.179, 95% CI [+0.133, +0.225]) is small in absolute magnitude but precisely estimated. The CI excludes zero and the effect is consistent across all four rubric dimensions, making it a robust finding rather than a noise artefact.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Second, the LpW gap is substantially larger in effect size (d = 0.663 vs d = 0.342 for Qped). This is expected: LpW compounds the quality difference with the latency difference (NF4 is 46% slower), so even a modest Qped advantage for FP16 translates into a more substantial LpW advantage. The formal test confirms this compound effect is real and not a statistical artefact.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Third, the Wilcoxon test for LpW (p = 6.63×10⁻⁷⁴) is far more significant than the t-test (p = 1.95×10⁻⁴¹), suggesting that the LpW distribution is non-normal and that the non-parametric test is more appropriate for reporting LpW significance. For Qped (which is bounded [1,10] and approximately normal), the t-test and Wilcoxon are comparable in sensitivity.</w:t>
      </w:r>
    </w:p>
    <w:p>
      <w:pP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Part 3  Suggested Text Additions for Revised Manuscript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3.1  Addition to Section 2.4 (Definition of LpW)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Insert after Equation 1, before the paragraph beginning 'The LpW index serves three roles':</w:t>
      </w:r>
    </w:p>
    <w:p>
      <w:pPr>
        <w:shd w:fill="FFF2CC" w:val="clear"/>
        <w:spacing w:after="120"/>
        <w:ind w:left="720" w:right="7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multiplicative denominator E_net × L is physically motivated rather than arbitrary. Since net energy is approximately E_net,i ≈ (P̄ − P_idle) · L_i under the constant-power assumption verified for the T4 GPU (Section 4.7), the denominator reduces to E_net × L ≈ (P̄ − P_idle) · L², which is the Energy–Delay Product (EDP) — a standard figure of merit in power-aware computer architecture (Gonzalez &amp; Horowitz, 1996). The EDP is the natural denominator when both energy and latency impose independent binding constraints: a linear combination αE + βL would require choosing units-dependent free parameters α and β, whereas the multiplicative form is dimensionally consistent and introduces no free parameters. LpW therefore measures pedagogical yield per unit EDP — the quantity that is jointly minimised by configurations that are simultaneously accurate, fast, and energy-efficient.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3.2  Addition to Section 5.1.3 (Summary Comparison)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Replace the existing paragraph reporting Qped statistics with the following, and add the LpW test immediately after:</w:t>
      </w:r>
    </w:p>
    <w:p>
      <w:pPr>
        <w:shd w:fill="FFF2CC" w:val="clear"/>
        <w:spacing w:after="120"/>
        <w:ind w:left="720" w:right="7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0.179-point mean Qped difference (FP16: M = 8.233, SD = 0.309; NF4: M = 8.054, SD = 0.509) is statistically significant with a small effect size: paired t(499) = 7.655, p = 1.01×10⁻¹³, 95% CI [+0.133, +0.225], Cohen's d = 0.342. A bootstrap 95% CI (B = 10,000) of [+0.135, +0.226] confirms the interval is robust to distributional assumptions. A non-parametric Wilcoxon signed-rank test reached the same conclusion (W = 6295, p = 2.26×10⁻¹¹). The LpW difference (FP16: M = 2.498×10⁻³, SD = 0.795×10⁻³; NF4: M = 1.881×10⁻³, SD = 0.657×10⁻³) is larger in effect size: paired t(499) = 14.819, p = 1.95×10⁻⁴¹, Cohen's d = 0.663, with the LpW ratio bootstrap 95% CI [1.273×, 1.383×] excluding 1.0 and formally establishing that the reported 1.33× FP16 advantage is not a sampling artefact. A Wilcoxon signed-rank test on LpW (W = 3841, p = 6.63×10⁻⁷⁴) confirms this finding non-parametrically; the stronger Wilcoxon result relative to the t-test is consistent with the right-skewed LpW distribution documented in Figure 1a.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Yellow-shaded boxes are ready-to-paste text for the revised manuscript. References to add: Gonzalez, R. &amp; Horowitz, M. (1996). Energy dissipation in general purpose microprocessors. IEEE Journal of Solid-State Circuits, 31(9), 1277–1284.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2026-03-26T07:24:19.955Z</dcterms:created>
  <dcterms:modified xsi:type="dcterms:W3CDTF">2026-03-26T07:24:19.955Z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