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2006/wordml" xmlns:wps="http://schemas.microsoft.com/office/word/2010/wordprocessingShape" mc:Ignorable="w14 wp14">
  <w:body>
    <w:p>
      <w:pPr>
        <w:pStyle w:val="Title"/>
      </w:pPr>
      <w:r>
        <w:t xml:space="preserve">Client Readout – Executive Summary &amp; Recommendations</w:t>
      </w:r>
    </w:p>
    <w:p>
      <w:r>
        <w:t xml:space="preserve">Client: Acme Corp</w:t>
      </w:r>
    </w:p>
    <w:p>
      <w:r>
        <w:t xml:space="preserve">Engagement: Digital Transformation Readout (RAG Prototype)</w:t>
      </w:r>
    </w:p>
    <w:p>
      <w:r>
        <w:t xml:space="preserve">Prepared for: Executive Leadership</w:t>
      </w:r>
    </w:p>
    <w:p>
      <w:r>
        <w:t xml:space="preserve">Prepared by: Jacob Meadow Associates</w:t>
      </w:r>
    </w:p>
    <w:p>
      <w:r>
        <w:t xml:space="preserve">Date: 2025-08-14</w:t>
      </w:r>
    </w:p>
    <w:p>
      <w:r>
        <w:t xml:space="preserve">Confidential – For Client Use Only</w:t>
      </w:r>
    </w:p>
    <w:p>
      <w:r>
        <w:t xml:space="preserve">————————————————————</w:t>
      </w:r>
    </w:p>
    <w:p>
      <w:pPr>
        <w:pStyle w:val="Heading1"/>
      </w:pPr>
      <w:r>
        <w:t xml:space="preserve">Key Stakeholders</w:t>
      </w:r>
    </w:p>
    <w:p>
      <w:r>
        <w:t xml:space="preserve">• Sarah Johnson · CEO · tone: direct · priorities: Digital transformation; Cost reduction; Market expansion</w:t>
      </w:r>
    </w:p>
    <w:p>
      <w:r>
        <w:t xml:space="preserve">• Mike Chen · CTO · tone: collaborative · priorities: Technology modernization; Team development; Security enhancement</w:t>
      </w:r>
    </w:p>
    <w:p>
      <w:r>
        <w:t xml:space="preserve">————————————————————</w:t>
      </w:r>
    </w:p>
    <w:p>
      <w:pPr>
        <w:pStyle w:val="Heading1"/>
      </w:pPr>
      <w:r>
        <w:t xml:space="preserve">Executive Summary</w:t>
      </w:r>
    </w:p>
    <w:p>
      <w:r>
        <w:t xml:space="preserve">Driven by the CEO’s direct, outcome‑oriented mandate, Acme Corp will accelerate a phased digital transformation that reduces cost, expands market reach, and delivers measurable value on a 90‑day cadence. We centralize client knowledge, enforce governance, and automate first‑draft creation for executive materials to cut time‑to‑first‑draft while raising quality and consistency.</w:t>
      </w:r>
    </w:p>
    <w:p>
      <w:r>
        <w:t xml:space="preserve">The recommended approach combines structured data in PostgreSQL (clients, stakeholders, engagements) with semantic retrieval via pgvector and controlled generation using Llama 3.2 Instruct. We apply the DAAEG framework to ensure traceability and disciplined execution: Discover facts, Analyze gaps, Architect the platform, Execute in phases, and Govern outcomes with KPIs and audit logs.</w:t>
      </w:r>
    </w:p>
    <w:p>
      <w:r>
        <w:t xml:space="preserve">• Reduce time‑to‑first‑draft for executive readouts by ~50–70% using RAG‑assisted authoring.</w:t>
      </w:r>
    </w:p>
    <w:p>
      <w:r>
        <w:t xml:space="preserve">• Enable rapid reuse of ‘gold copies’ and contextual snippets via semantic search across engagements.</w:t>
      </w:r>
    </w:p>
    <w:p>
      <w:r>
        <w:t xml:space="preserve">• Strengthen security and auditability with role‑based access, sourcing, and model/prompt lineage.</w:t>
      </w:r>
    </w:p>
    <w:p>
      <w:r>
        <w:t xml:space="preserve">————————————————————</w:t>
      </w:r>
    </w:p>
    <w:p>
      <w:pPr>
        <w:pStyle w:val="Heading1"/>
      </w:pPr>
      <w:r>
        <w:t xml:space="preserve">Current Situation Assessment</w:t>
      </w:r>
    </w:p>
    <w:p>
      <w:r>
        <w:t xml:space="preserve">• Critical knowledge is fragmented across meetings, emails, and files; discovery and reuse are inconsistent.</w:t>
      </w:r>
    </w:p>
    <w:p>
      <w:r>
        <w:t xml:space="preserve">• Legacy systems limit modernization velocity; security controls and change history need stronger enforcement.</w:t>
      </w:r>
    </w:p>
    <w:p>
      <w:r>
        <w:t xml:space="preserve">• Teams need enablement to adopt new standards and templates for consistent executive deliverables.</w:t>
      </w:r>
    </w:p>
    <w:p>
      <w:r>
        <w:t xml:space="preserve">Sources referenced in assessment: [KE-2011: Strategy sync 2025‑07‑22], [KE-2018: Architecture forum 2025‑08‑01]</w:t>
      </w:r>
    </w:p>
    <w:p>
      <w:r>
        <w:t xml:space="preserve">————————————————————</w:t>
      </w:r>
    </w:p>
    <w:p>
      <w:pPr>
        <w:pStyle w:val="Heading1"/>
      </w:pPr>
      <w:r>
        <w:t xml:space="preserve">Key Recommendations (DAAEG)</w:t>
      </w:r>
    </w:p>
    <w:p>
      <w:pPr>
        <w:pStyle w:val="Heading2"/>
      </w:pPr>
      <w:r>
        <w:t xml:space="preserve">Discover</w:t>
      </w:r>
    </w:p>
    <w:p>
      <w:r>
        <w:t xml:space="preserve">• Inventory meeting notes, emails, and prior deliverables; map to Clients/Stakeholders and tag tone/priorities (2 weeks).</w:t>
      </w:r>
    </w:p>
    <w:p>
      <w:r>
        <w:t xml:space="preserve">• Baseline cost/time for current deliverable creation to establish target improvement ranges with Finance.</w:t>
      </w:r>
    </w:p>
    <w:p>
      <w:pPr>
        <w:pStyle w:val="Heading2"/>
      </w:pPr>
      <w:r>
        <w:t xml:space="preserve">Analyze</w:t>
      </w:r>
    </w:p>
    <w:p>
      <w:r>
        <w:t xml:space="preserve">• Rank highest‑value deliverables (Exec Summary, Key Recs) and identify sensitive data classes with Security.</w:t>
      </w:r>
    </w:p>
    <w:p>
      <w:r>
        <w:t xml:space="preserve">• Quantify ROI scenarios for modernization and automation; align to CEO cost‑reduction targets.</w:t>
      </w:r>
    </w:p>
    <w:p>
      <w:pPr>
        <w:pStyle w:val="Heading2"/>
      </w:pPr>
      <w:r>
        <w:t xml:space="preserve">Architect</w:t>
      </w:r>
    </w:p>
    <w:p>
      <w:r>
        <w:t xml:space="preserve">• Stand up PostgreSQL + pgvector schema (Clients, Stakeholders, Knowledge_Entries) and object storage for files.</w:t>
      </w:r>
    </w:p>
    <w:p>
      <w:r>
        <w:t xml:space="preserve">• Define prompt assembly with persona, context, tone constraints (direct for CEO; collaborative for CTO), and ethical guardrails.</w:t>
      </w:r>
    </w:p>
    <w:p>
      <w:pPr>
        <w:pStyle w:val="Heading2"/>
      </w:pPr>
      <w:r>
        <w:t xml:space="preserve">Execute</w:t>
      </w:r>
    </w:p>
    <w:p>
      <w:r>
        <w:t xml:space="preserve">• Implement ingestion service and semantic retrieval; generate Word docs via python‑docx with placeholders.</w:t>
      </w:r>
    </w:p>
    <w:p>
      <w:r>
        <w:t xml:space="preserve">• Pilot across two portfolios; run weekly reviews with CTO’s team to co‑design standards and enablement.</w:t>
      </w:r>
    </w:p>
    <w:p>
      <w:pPr>
        <w:pStyle w:val="Heading2"/>
      </w:pPr>
      <w:r>
        <w:t xml:space="preserve">Govern</w:t>
      </w:r>
    </w:p>
    <w:p>
      <w:r>
        <w:t xml:space="preserve">• Establish KPI reviews (time‑to‑first‑draft, reuse rate, defect rate) and executive steering cadence.</w:t>
      </w:r>
    </w:p>
    <w:p>
      <w:r>
        <w:t xml:space="preserve">• Save approved ‘gold copies’ back to KB; log model identity, prompt hashes, and retrieval context IDs.</w:t>
      </w:r>
    </w:p>
    <w:p>
      <w:r>
        <w:t xml:space="preserve">————————————————————</w:t>
      </w:r>
    </w:p>
    <w:p>
      <w:pPr>
        <w:pStyle w:val="Heading1"/>
      </w:pPr>
      <w:r>
        <w:t xml:space="preserve">Expected Outcomes &amp; KPIs</w:t>
      </w:r>
    </w:p>
    <w:p>
      <w:r>
        <w:t xml:space="preserve">• Time‑to‑first‑draft ↓ 50–70% in 60–90 days (Execute/Govern).</w:t>
      </w:r>
    </w:p>
    <w:p>
      <w:r>
        <w:t xml:space="preserve">• Reuse rate of prior deliverables ↑ 3–5× via semantic retrieval (Discover/Analyze).</w:t>
      </w:r>
    </w:p>
    <w:p>
      <w:r>
        <w:t xml:space="preserve">• Defect rate in executive materials ↓ 20–30% via sourcing and HIL approvals (Govern).</w:t>
      </w:r>
    </w:p>
    <w:p>
      <w:r>
        <w:t xml:space="preserve">• Market‑expansion materials lead‑time ↓ 25% via standardized templates and RAG (Architect/Execute).</w:t>
      </w:r>
    </w:p>
    <w:p>
      <w:r>
        <w:t xml:space="preserve">————————————————————</w:t>
      </w:r>
    </w:p>
    <w:p>
      <w:pPr>
        <w:pStyle w:val="Heading1"/>
      </w:pPr>
      <w:r>
        <w:t xml:space="preserve">Risks &amp; Mitigations</w:t>
      </w:r>
    </w:p>
    <w:p>
      <w:r>
        <w:t xml:space="preserve">• Data sensitivity and regulatory constraints → enforce RBAC, encryption, and access logs; segregate client contexts.</w:t>
      </w:r>
    </w:p>
    <w:p>
      <w:r>
        <w:t xml:space="preserve">• Model/prompt drift → version prompts and models; add rollback path; run periodic sample audits.</w:t>
      </w:r>
    </w:p>
    <w:p>
      <w:r>
        <w:t xml:space="preserve">• Adoption risk → offer training, embedded champions, and template libraries co‑created with CTO’s teams.</w:t>
      </w:r>
    </w:p>
    <w:p>
      <w:r>
        <w:t xml:space="preserve">————————————————————</w:t>
      </w:r>
    </w:p>
    <w:p>
      <w:pPr>
        <w:pStyle w:val="Heading1"/>
      </w:pPr>
      <w:r>
        <w:t xml:space="preserve">Sources &amp; Traceability</w:t>
      </w:r>
    </w:p>
    <w:p>
      <w:r>
        <w:t xml:space="preserve">• [KE-2011: Strategy sync 2025‑07‑22]</w:t>
      </w:r>
    </w:p>
    <w:p>
      <w:r>
        <w:t xml:space="preserve">• [KE-2018: Architecture forum 2025‑08‑01]</w:t>
      </w:r>
    </w:p>
    <w:p>
      <w:r>
        <w:t xml:space="preserve">————————————————————</w:t>
      </w:r>
    </w:p>
    <w:p>
      <w:pPr>
        <w:pStyle w:val="Heading1"/>
      </w:pPr>
      <w:r>
        <w:t xml:space="preserve">Enrichment Metadata (Closed‑Loop)</w:t>
      </w:r>
    </w:p>
    <w:p>
      <w:r>
        <w:t xml:space="preserve">• GoldCopy: True</w:t>
      </w:r>
    </w:p>
    <w:p>
      <w:r>
        <w:t xml:space="preserve">• KnowledgeEntryId: KE-3055</w:t>
      </w:r>
    </w:p>
    <w:p>
      <w:r>
        <w:t xml:space="preserve">• Model: meta-llama/Llama-3.2-3B-Instruct (d24001d78388)</w:t>
      </w:r>
    </w:p>
    <w:p>
      <w:r>
        <w:t xml:space="preserve">• Prompt Hash: ed787a4e30c6</w:t>
      </w:r>
    </w:p>
    <w:p>
      <w:r>
        <w:t xml:space="preserve">• Retrieval Context IDs: [KE-2011, KE-2018]</w:t>
      </w:r>
    </w:p>
    <w:sectPr>
      <w:pgSz w:w="12240" w:h="15840"/>
      <w:pgMar w:top="1440" w:right="1440" w:bottom="1440" w:left="1440"/>
    </w:sectPr>
  </w:body>
</w:document>
</file>

<file path=word/_rels/document.xml.rels><?xml version="1.0" encoding="UTF-8" standalone="yes"?>
<Relationships xmlns="http://schemas.openxmlformats.org/package/2006/relationships">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Readout – Acme Corp</dc:title>
  <dc:creator>Jacob Meadow Associates</dc:creator>
  <cp:lastModifiedBy>Jacob Meadow Associates</cp:lastModifiedBy>
  <dcterms:created xsi:type="dcterms:W3CDTF">2025-08-14T16:21:39.825455+00:00</dcterms:created>
  <dcterms:modified xsi:type="dcterms:W3CDTF">2025-08-14T16:21:39.825464+00:00</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ldCopy">
    <vt:bool>true</vt:bool>
  </property>
  <property fmtid="{D5CDD505-2E9C-101B-9397-08002B2CF9AE}" pid="3" name="KnowledgeEntryId">
    <vt:lpwstr>KE-3055</vt:lpwstr>
  </property>
  <property fmtid="{D5CDD505-2E9C-101B-9397-08002B2CF9AE}" pid="4" name="ModelFingerprint">
    <vt:lpwstr>d24001d78388</vt:lpwstr>
  </property>
  <property fmtid="{D5CDD505-2E9C-101B-9397-08002B2CF9AE}" pid="5" name="PromptHash">
    <vt:lpwstr>ed787a4e30c6</vt:lpwstr>
  </property>
  <property fmtid="{D5CDD505-2E9C-101B-9397-08002B2CF9AE}" pid="6" name="RetrievalContextIds">
    <vt:lpwstr>[KE-2011, KE-2018]</vt:lpwstr>
  </property>
</Properties>
</file>