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Client Readout – Executive Summary &amp; Recommendations</w:t>
      </w:r>
    </w:p>
    <w:p>
      <w:r>
        <w:t xml:space="preserve">Client: Globex Inc</w:t>
      </w:r>
    </w:p>
    <w:p>
      <w:r>
        <w:t xml:space="preserve">Engagement: RAG Knowledge Base Prototype (Phases 1–4)</w:t>
      </w:r>
    </w:p>
    <w:p>
      <w:r>
        <w:t xml:space="preserve">Prepared for: Executive Sponsor</w:t>
      </w:r>
    </w:p>
    <w:p>
      <w:r>
        <w:t xml:space="preserve">Prepared by: Jacob Meadow Associates</w:t>
      </w:r>
    </w:p>
    <w:p>
      <w:r>
        <w:t xml:space="preserve">Date: 2025-08-14</w:t>
      </w:r>
    </w:p>
    <w:p>
      <w:r>
        <w:t xml:space="preserve">Confidential – For Client Use Only</w:t>
      </w:r>
    </w:p>
    <w:p>
      <w:r>
        <w:t xml:space="preserve">————————————————————</w:t>
      </w:r>
    </w:p>
    <w:p>
      <w:pPr>
        <w:pStyle w:val="Heading1"/>
      </w:pPr>
      <w:r>
        <w:t xml:space="preserve">Key Stakeholders</w:t>
      </w:r>
    </w:p>
    <w:p>
      <w:r>
        <w:t xml:space="preserve">• Alex Rivera · CFO · tone: collaborative · priorities: Cost transparency; Governance; Sustainable savings</w:t>
      </w:r>
    </w:p>
    <w:p>
      <w:r>
        <w:t xml:space="preserve">• Priya Nair · CTO · tone: direct · priorities: Modernization; Security; Delivery velocity</w:t>
      </w:r>
    </w:p>
    <w:p>
      <w:r>
        <w:t xml:space="preserve">————————————————————</w:t>
      </w:r>
    </w:p>
    <w:p>
      <w:pPr>
        <w:pStyle w:val="Heading1"/>
      </w:pPr>
      <w:r>
        <w:t xml:space="preserve">Executive Summary</w:t>
      </w:r>
    </w:p>
    <w:p>
      <w:r>
        <w:t xml:space="preserve">Under Alex Rivera's sponsorship (collaborative tone), JMA recommends a phased transformation that turns Globex Inc's distributed client knowledge into a secure, searchable asset and automates first‑draft deliverable creation. This proposal reduces rework, shortens time‑to‑first‑draft, and establishes governance so the system improves with every engagement.</w:t>
      </w:r>
    </w:p>
    <w:p>
      <w:r>
        <w:t xml:space="preserve">The approach combines structured data in PostgreSQL (clients, stakeholders, engagements) with semantic retrieval in pgvector and a controlled Llama 3.2 Instruct generation step. We apply DAAEG to ensure measurable progress: discover facts, analyze gaps, architect the solution, execute in phases, and govern outcomes via KPIs and auditability.</w:t>
      </w:r>
    </w:p>
    <w:p>
      <w:r>
        <w:t xml:space="preserve">• Reduce time‑to‑first‑draft for executive readouts by ~50–70% via RAG-assisted authoring.</w:t>
      </w:r>
    </w:p>
    <w:p>
      <w:r>
        <w:t xml:space="preserve">• Improve reuse of prior work by centralizing ‘gold copies’ and enabling semantic search across engagements.</w:t>
      </w:r>
    </w:p>
    <w:p>
      <w:r>
        <w:t xml:space="preserve">• Strengthen governance with source traceability, prompt/LLM identity logs, and human‑in‑the‑loop approvals.</w:t>
      </w:r>
    </w:p>
    <w:p>
      <w:r>
        <w:t xml:space="preserve">————————————————————</w:t>
      </w:r>
    </w:p>
    <w:p>
      <w:pPr>
        <w:pStyle w:val="Heading1"/>
      </w:pPr>
      <w:r>
        <w:t xml:space="preserve">Current Situation Assessment</w:t>
      </w:r>
    </w:p>
    <w:p>
      <w:r>
        <w:t xml:space="preserve">• Client-specific knowledge is fragmented across emails, meetings, and documents; discovery is time‑consuming.</w:t>
      </w:r>
    </w:p>
    <w:p>
      <w:r>
        <w:t xml:space="preserve">• Legacy filing patterns limit reuse; there is no single source of truth tying stakeholders, tone, and priorities to deliverables.</w:t>
      </w:r>
    </w:p>
    <w:p>
      <w:r>
        <w:t xml:space="preserve">• Security and auditability requirements necessitate clear sourcing and change history, especially for executive materials.</w:t>
      </w:r>
    </w:p>
    <w:p>
      <w:r>
        <w:t xml:space="preserve">Sources referenced in assessment: [KE-1024: Ops review 2025‑07‑28], [KE-1031: Architecture sync 2025‑08‑01], [KE-1037: Finance sync 2025‑08‑05]</w:t>
      </w:r>
    </w:p>
    <w:p>
      <w:r>
        <w:t xml:space="preserve">————————————————————</w:t>
      </w:r>
    </w:p>
    <w:p>
      <w:pPr>
        <w:pStyle w:val="Heading1"/>
      </w:pPr>
      <w:r>
        <w:t xml:space="preserve">Key Recommendations (DAAEG)</w:t>
      </w:r>
    </w:p>
    <w:p>
      <w:pPr>
        <w:pStyle w:val="Heading2"/>
      </w:pPr>
      <w:r>
        <w:t xml:space="preserve">Discover</w:t>
      </w:r>
    </w:p>
    <w:p>
      <w:r>
        <w:t xml:space="preserve">• Inventory knowledge sources (transcripts, emails, prior deliverables) and map to Client/Stakeholder entities (2 weeks).</w:t>
      </w:r>
    </w:p>
    <w:p>
      <w:r>
        <w:t xml:space="preserve">• Baseline search needs and current cycle times; define target KPI improvements with Finance and PMO.</w:t>
      </w:r>
    </w:p>
    <w:p>
      <w:pPr>
        <w:pStyle w:val="Heading2"/>
      </w:pPr>
      <w:r>
        <w:t xml:space="preserve">Analyze</w:t>
      </w:r>
    </w:p>
    <w:p>
      <w:r>
        <w:t xml:space="preserve">• Prioritize high‑value use cases (exec summary, recommendations) and rank documents for ingestion by impact and risk.</w:t>
      </w:r>
    </w:p>
    <w:p>
      <w:r>
        <w:t xml:space="preserve">• Confirm data sensitivity classes and encryption requirements for storage and retrieval.</w:t>
      </w:r>
    </w:p>
    <w:p>
      <w:pPr>
        <w:pStyle w:val="Heading2"/>
      </w:pPr>
      <w:r>
        <w:t xml:space="preserve">Architect</w:t>
      </w:r>
    </w:p>
    <w:p>
      <w:r>
        <w:t xml:space="preserve">• Stand up PostgreSQL + pgvector schemas (Clients, Stakeholders, Knowledge_Entries) and object storage for files.</w:t>
      </w:r>
    </w:p>
    <w:p>
      <w:r>
        <w:t xml:space="preserve">• Design prompt assembly with persona, context, tone constraints, and ethical guardrails; specify JSON/Markdown outputs.</w:t>
      </w:r>
    </w:p>
    <w:p>
      <w:pPr>
        <w:pStyle w:val="Heading2"/>
      </w:pPr>
      <w:r>
        <w:t xml:space="preserve">Execute</w:t>
      </w:r>
    </w:p>
    <w:p>
      <w:r>
        <w:t xml:space="preserve">• Implement ingestion microservice (transcripts/emails) and semantic retrieval; generate Word docs via python‑docx.</w:t>
      </w:r>
    </w:p>
    <w:p>
      <w:r>
        <w:t xml:space="preserve">• Pilot on two clients and iterate on prompts; train team on usage and feedback loop.</w:t>
      </w:r>
    </w:p>
    <w:p>
      <w:pPr>
        <w:pStyle w:val="Heading2"/>
      </w:pPr>
      <w:r>
        <w:t xml:space="preserve">Govern</w:t>
      </w:r>
    </w:p>
    <w:p>
      <w:r>
        <w:t xml:space="preserve">• Establish steering cadence with KPIs (time‑to‑first‑draft, reuse rate, defects) and source traceability review.</w:t>
      </w:r>
    </w:p>
    <w:p>
      <w:r>
        <w:t xml:space="preserve">• Save approved ‘gold copies’ back to KB; log model identity, prompt hashes, and retrieval context IDs for audits.</w:t>
      </w:r>
    </w:p>
    <w:p>
      <w:r>
        <w:t xml:space="preserve">————————————————————</w:t>
      </w:r>
    </w:p>
    <w:p>
      <w:pPr>
        <w:pStyle w:val="Heading1"/>
      </w:pPr>
      <w:r>
        <w:t xml:space="preserve">Expected Outcomes &amp; KPIs</w:t>
      </w:r>
    </w:p>
    <w:p>
      <w:r>
        <w:t xml:space="preserve">• Time‑to‑first‑draft ↓ 50–70% for targeted deliverables (maps to Execute/Govern).</w:t>
      </w:r>
    </w:p>
    <w:p>
      <w:r>
        <w:t xml:space="preserve">• Reuse rate of prior deliverables ↑ 3–5× via semantic retrieval and gold‑copy indexing (Discover/Analyze).</w:t>
      </w:r>
    </w:p>
    <w:p>
      <w:r>
        <w:t xml:space="preserve">• Defect rate in executive materials ↓ 20–30% via tone constraints, sourcing, and human‑in‑the‑loop approvals (Govern).</w:t>
      </w:r>
    </w:p>
    <w:p>
      <w:r>
        <w:t xml:space="preserve">• Measurable cost avoidance via faster iteration cycles and standardized templates (Architect/Execute).</w:t>
      </w:r>
    </w:p>
    <w:p>
      <w:r>
        <w:t xml:space="preserve">————————————————————</w:t>
      </w:r>
    </w:p>
    <w:p>
      <w:pPr>
        <w:pStyle w:val="Heading1"/>
      </w:pPr>
      <w:r>
        <w:t xml:space="preserve">Risks &amp; Mitigations</w:t>
      </w:r>
    </w:p>
    <w:p>
      <w:r>
        <w:t xml:space="preserve">• Data sensitivity across clients → Apply RBAC, encrypt at rest/in transit, and maintain access logs; restrict cross‑client queries.</w:t>
      </w:r>
    </w:p>
    <w:p>
      <w:r>
        <w:t xml:space="preserve">• Model drift or prompt regressions → Track prompt/LLM versions; run spot checks; keep a rollback path for prompts and models.</w:t>
      </w:r>
    </w:p>
    <w:p>
      <w:r>
        <w:t xml:space="preserve">• Low adoption without enablement → Provide training, annotated examples, and embed a knowledge champion in each squad.</w:t>
      </w:r>
    </w:p>
    <w:p>
      <w:r>
        <w:t xml:space="preserve">————————————————————</w:t>
      </w:r>
    </w:p>
    <w:p>
      <w:pPr>
        <w:pStyle w:val="Heading1"/>
      </w:pPr>
      <w:r>
        <w:t xml:space="preserve">Sources &amp; Traceability</w:t>
      </w:r>
    </w:p>
    <w:p>
      <w:r>
        <w:t xml:space="preserve">• [KE-1024: Ops review 2025‑07‑28]</w:t>
      </w:r>
    </w:p>
    <w:p>
      <w:r>
        <w:t xml:space="preserve">• [KE-1031: Architecture sync 2025‑08‑01]</w:t>
      </w:r>
    </w:p>
    <w:p>
      <w:r>
        <w:t xml:space="preserve">• [KE-1037: Finance sync 2025‑08‑05]</w:t>
      </w:r>
    </w:p>
    <w:p>
      <w:r>
        <w:t xml:space="preserve">————————————————————</w:t>
      </w:r>
    </w:p>
    <w:p>
      <w:pPr>
        <w:pStyle w:val="Heading1"/>
      </w:pPr>
      <w:r>
        <w:t xml:space="preserve">Enrichment Metadata (Closed‑Loop)</w:t>
      </w:r>
    </w:p>
    <w:p>
      <w:r>
        <w:t xml:space="preserve">• GoldCopy: True</w:t>
      </w:r>
    </w:p>
    <w:p>
      <w:r>
        <w:t xml:space="preserve">• KnowledgeEntryId: KE-2049</w:t>
      </w:r>
    </w:p>
    <w:p>
      <w:r>
        <w:t xml:space="preserve">• Model: meta-llama/Llama-3.2-3B-Instruct (d24001d78388)</w:t>
      </w:r>
    </w:p>
    <w:p>
      <w:r>
        <w:t xml:space="preserve">• Prompt Hash: a928f2713598</w:t>
      </w:r>
    </w:p>
    <w:p>
      <w:r>
        <w:t xml:space="preserve">• Retrieval Context IDs: [KE-1024, KE-1031, KE-1037]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Readout – Globex Inc</dc:title>
  <dc:creator>Jacob Meadow Associates</dc:creator>
  <cp:lastModifiedBy>Jacob Meadow Associates</cp:lastModifiedBy>
  <dcterms:created xsi:type="dcterms:W3CDTF">2025-08-14T16:18:23.484780+00:00</dcterms:created>
  <dcterms:modified xsi:type="dcterms:W3CDTF">2025-08-14T16:18:23.484790+00:00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ldCopy">
    <vt:bool>true</vt:bool>
  </property>
  <property fmtid="{D5CDD505-2E9C-101B-9397-08002B2CF9AE}" pid="3" name="KnowledgeEntryId">
    <vt:lpwstr>KE-2049</vt:lpwstr>
  </property>
  <property fmtid="{D5CDD505-2E9C-101B-9397-08002B2CF9AE}" pid="4" name="ModelFingerprint">
    <vt:lpwstr>d24001d78388</vt:lpwstr>
  </property>
  <property fmtid="{D5CDD505-2E9C-101B-9397-08002B2CF9AE}" pid="5" name="PromptHash">
    <vt:lpwstr>a928f2713598</vt:lpwstr>
  </property>
  <property fmtid="{D5CDD505-2E9C-101B-9397-08002B2CF9AE}" pid="6" name="RetrievalContextIds">
    <vt:lpwstr>[KE-1024, KE-1031, KE-1037]</vt:lpwstr>
  </property>
</Properties>
</file>