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DD059" w14:textId="09A55CF2" w:rsidR="005B4BBF" w:rsidRDefault="00000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REFERENCES</w:t>
      </w:r>
    </w:p>
    <w:p w14:paraId="27EB75E6" w14:textId="77777777" w:rsidR="0009598B" w:rsidRDefault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08F3A2F" w14:textId="77777777" w:rsidR="00540A05" w:rsidRDefault="00540A05" w:rsidP="00540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A05">
        <w:rPr>
          <w:rFonts w:ascii="Times New Roman" w:hAnsi="Times New Roman" w:cs="Times New Roman"/>
          <w:sz w:val="28"/>
          <w:szCs w:val="28"/>
        </w:rPr>
        <w:t xml:space="preserve">1] European Environment Agency. (2016). Electric Vehicles and the Energy Sector—Impacts on Europe's Future Emissions. </w:t>
      </w:r>
    </w:p>
    <w:p w14:paraId="183ACFAF" w14:textId="77777777" w:rsidR="00540A05" w:rsidRDefault="00540A05" w:rsidP="00540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F586A7" w14:textId="77777777" w:rsidR="00540A05" w:rsidRDefault="00540A05" w:rsidP="00540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A05">
        <w:rPr>
          <w:rFonts w:ascii="Times New Roman" w:hAnsi="Times New Roman" w:cs="Times New Roman"/>
          <w:sz w:val="28"/>
          <w:szCs w:val="28"/>
        </w:rPr>
        <w:t xml:space="preserve">[2] Thangavel, S., Deepak, M., </w:t>
      </w:r>
      <w:proofErr w:type="spellStart"/>
      <w:r w:rsidRPr="00540A05">
        <w:rPr>
          <w:rFonts w:ascii="Times New Roman" w:hAnsi="Times New Roman" w:cs="Times New Roman"/>
          <w:sz w:val="28"/>
          <w:szCs w:val="28"/>
        </w:rPr>
        <w:t>Girijaprasanna</w:t>
      </w:r>
      <w:proofErr w:type="spellEnd"/>
      <w:r w:rsidRPr="00540A05">
        <w:rPr>
          <w:rFonts w:ascii="Times New Roman" w:hAnsi="Times New Roman" w:cs="Times New Roman"/>
          <w:sz w:val="28"/>
          <w:szCs w:val="28"/>
        </w:rPr>
        <w:t xml:space="preserve">, T., Raju, S., </w:t>
      </w:r>
      <w:proofErr w:type="spellStart"/>
      <w:r w:rsidRPr="00540A05">
        <w:rPr>
          <w:rFonts w:ascii="Times New Roman" w:hAnsi="Times New Roman" w:cs="Times New Roman"/>
          <w:sz w:val="28"/>
          <w:szCs w:val="28"/>
        </w:rPr>
        <w:t>Dhanamjayulu</w:t>
      </w:r>
      <w:proofErr w:type="spellEnd"/>
      <w:r w:rsidRPr="00540A05">
        <w:rPr>
          <w:rFonts w:ascii="Times New Roman" w:hAnsi="Times New Roman" w:cs="Times New Roman"/>
          <w:sz w:val="28"/>
          <w:szCs w:val="28"/>
        </w:rPr>
        <w:t xml:space="preserve">, C., &amp; </w:t>
      </w:r>
      <w:proofErr w:type="spellStart"/>
      <w:r w:rsidRPr="00540A05">
        <w:rPr>
          <w:rFonts w:ascii="Times New Roman" w:hAnsi="Times New Roman" w:cs="Times New Roman"/>
          <w:sz w:val="28"/>
          <w:szCs w:val="28"/>
        </w:rPr>
        <w:t>Muyeen</w:t>
      </w:r>
      <w:proofErr w:type="spellEnd"/>
      <w:r w:rsidRPr="00540A05">
        <w:rPr>
          <w:rFonts w:ascii="Times New Roman" w:hAnsi="Times New Roman" w:cs="Times New Roman"/>
          <w:sz w:val="28"/>
          <w:szCs w:val="28"/>
        </w:rPr>
        <w:t>, S. M. (2023). A Comprehensive Review on Electric Vehicle: Battery Management System, Charging Station, Traction Motors. IEEE Access.</w:t>
      </w:r>
    </w:p>
    <w:p w14:paraId="26369518" w14:textId="77777777" w:rsidR="00540A05" w:rsidRDefault="00540A05" w:rsidP="00540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B5127E" w14:textId="54679E73" w:rsidR="00540A05" w:rsidRDefault="00540A05" w:rsidP="00540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A05">
        <w:rPr>
          <w:rFonts w:ascii="Times New Roman" w:hAnsi="Times New Roman" w:cs="Times New Roman"/>
          <w:sz w:val="28"/>
          <w:szCs w:val="28"/>
        </w:rPr>
        <w:t xml:space="preserve"> [3] Qiu, D., Wang, Y., Hua, W., &amp; </w:t>
      </w:r>
      <w:proofErr w:type="spellStart"/>
      <w:r w:rsidRPr="00540A05">
        <w:rPr>
          <w:rFonts w:ascii="Times New Roman" w:hAnsi="Times New Roman" w:cs="Times New Roman"/>
          <w:sz w:val="28"/>
          <w:szCs w:val="28"/>
        </w:rPr>
        <w:t>Strbac</w:t>
      </w:r>
      <w:proofErr w:type="spellEnd"/>
      <w:r w:rsidRPr="00540A05">
        <w:rPr>
          <w:rFonts w:ascii="Times New Roman" w:hAnsi="Times New Roman" w:cs="Times New Roman"/>
          <w:sz w:val="28"/>
          <w:szCs w:val="28"/>
        </w:rPr>
        <w:t xml:space="preserve">, G. (2023). Reinforcement learning for electric vehicle applications in power systems: A critical review. Renewable and Sustainable Energy Reviews, 173, 113052. </w:t>
      </w:r>
    </w:p>
    <w:p w14:paraId="4D446871" w14:textId="77777777" w:rsidR="00540A05" w:rsidRDefault="00540A05" w:rsidP="00540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1F4986" w14:textId="1E235A1A" w:rsidR="00540A05" w:rsidRDefault="00540A05" w:rsidP="00540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A05">
        <w:rPr>
          <w:rFonts w:ascii="Times New Roman" w:hAnsi="Times New Roman" w:cs="Times New Roman"/>
          <w:sz w:val="28"/>
          <w:szCs w:val="28"/>
        </w:rPr>
        <w:t xml:space="preserve">[4] DOUILLARD, C., &amp; AUDETTE, S. </w:t>
      </w:r>
      <w:proofErr w:type="spellStart"/>
      <w:r w:rsidRPr="00540A05">
        <w:rPr>
          <w:rFonts w:ascii="Times New Roman" w:hAnsi="Times New Roman" w:cs="Times New Roman"/>
          <w:sz w:val="28"/>
          <w:szCs w:val="28"/>
        </w:rPr>
        <w:t>Comparaison</w:t>
      </w:r>
      <w:proofErr w:type="spellEnd"/>
      <w:r w:rsidRPr="00540A05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540A05">
        <w:rPr>
          <w:rFonts w:ascii="Times New Roman" w:hAnsi="Times New Roman" w:cs="Times New Roman"/>
          <w:sz w:val="28"/>
          <w:szCs w:val="28"/>
        </w:rPr>
        <w:t>coûts</w:t>
      </w:r>
      <w:proofErr w:type="spellEnd"/>
      <w:r w:rsidRPr="00540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05">
        <w:rPr>
          <w:rFonts w:ascii="Times New Roman" w:hAnsi="Times New Roman" w:cs="Times New Roman"/>
          <w:sz w:val="28"/>
          <w:szCs w:val="28"/>
        </w:rPr>
        <w:t>totaux</w:t>
      </w:r>
      <w:proofErr w:type="spellEnd"/>
      <w:r w:rsidRPr="00540A05">
        <w:rPr>
          <w:rFonts w:ascii="Times New Roman" w:hAnsi="Times New Roman" w:cs="Times New Roman"/>
          <w:sz w:val="28"/>
          <w:szCs w:val="28"/>
        </w:rPr>
        <w:t xml:space="preserve"> de possession de </w:t>
      </w:r>
      <w:proofErr w:type="spellStart"/>
      <w:r w:rsidRPr="00540A05">
        <w:rPr>
          <w:rFonts w:ascii="Times New Roman" w:hAnsi="Times New Roman" w:cs="Times New Roman"/>
          <w:sz w:val="28"/>
          <w:szCs w:val="28"/>
        </w:rPr>
        <w:t>véhicules</w:t>
      </w:r>
      <w:proofErr w:type="spellEnd"/>
      <w:r w:rsidRPr="00540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05">
        <w:rPr>
          <w:rFonts w:ascii="Times New Roman" w:hAnsi="Times New Roman" w:cs="Times New Roman"/>
          <w:sz w:val="28"/>
          <w:szCs w:val="28"/>
        </w:rPr>
        <w:t>électriques</w:t>
      </w:r>
      <w:proofErr w:type="spellEnd"/>
      <w:r w:rsidRPr="00540A05">
        <w:rPr>
          <w:rFonts w:ascii="Times New Roman" w:hAnsi="Times New Roman" w:cs="Times New Roman"/>
          <w:sz w:val="28"/>
          <w:szCs w:val="28"/>
        </w:rPr>
        <w:t xml:space="preserve"> et conventionnels au Québec. </w:t>
      </w:r>
    </w:p>
    <w:p w14:paraId="75822DC8" w14:textId="77777777" w:rsidR="00540A05" w:rsidRDefault="00540A05" w:rsidP="00540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5E4C1" w14:textId="77777777" w:rsidR="00540A05" w:rsidRDefault="00540A05" w:rsidP="00540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A05">
        <w:rPr>
          <w:rFonts w:ascii="Times New Roman" w:hAnsi="Times New Roman" w:cs="Times New Roman"/>
          <w:sz w:val="28"/>
          <w:szCs w:val="28"/>
        </w:rPr>
        <w:t xml:space="preserve">[5] Solanke, T. U., </w:t>
      </w:r>
      <w:proofErr w:type="spellStart"/>
      <w:r w:rsidRPr="00540A05">
        <w:rPr>
          <w:rFonts w:ascii="Times New Roman" w:hAnsi="Times New Roman" w:cs="Times New Roman"/>
          <w:sz w:val="28"/>
          <w:szCs w:val="28"/>
        </w:rPr>
        <w:t>Ramachandaramurthy</w:t>
      </w:r>
      <w:proofErr w:type="spellEnd"/>
      <w:r w:rsidRPr="00540A05">
        <w:rPr>
          <w:rFonts w:ascii="Times New Roman" w:hAnsi="Times New Roman" w:cs="Times New Roman"/>
          <w:sz w:val="28"/>
          <w:szCs w:val="28"/>
        </w:rPr>
        <w:t>, V. K., Yong, J. Y., Pasupuleti, J., Kasinathan, P., &amp; Rajagopalan, A. (2020). A review of strategic charging–discharging control of grid</w:t>
      </w:r>
      <w:r w:rsidRPr="00540A05">
        <w:rPr>
          <w:rFonts w:ascii="Times New Roman" w:hAnsi="Times New Roman" w:cs="Times New Roman"/>
          <w:sz w:val="28"/>
          <w:szCs w:val="28"/>
        </w:rPr>
        <w:t xml:space="preserve">connected electric vehicles. Journal of Energy Storage, 28, 101193. </w:t>
      </w:r>
    </w:p>
    <w:p w14:paraId="1EE9D627" w14:textId="77777777" w:rsidR="00540A05" w:rsidRDefault="00540A05" w:rsidP="00540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C9624" w14:textId="52659AA0" w:rsidR="004F00F4" w:rsidRPr="00540A05" w:rsidRDefault="00540A05" w:rsidP="00540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A05">
        <w:rPr>
          <w:rFonts w:ascii="Times New Roman" w:hAnsi="Times New Roman" w:cs="Times New Roman"/>
          <w:sz w:val="28"/>
          <w:szCs w:val="28"/>
        </w:rPr>
        <w:t xml:space="preserve">[6] </w:t>
      </w:r>
      <w:proofErr w:type="spellStart"/>
      <w:r w:rsidRPr="00540A05">
        <w:rPr>
          <w:rFonts w:ascii="Times New Roman" w:hAnsi="Times New Roman" w:cs="Times New Roman"/>
          <w:sz w:val="28"/>
          <w:szCs w:val="28"/>
        </w:rPr>
        <w:t>Desreveaux</w:t>
      </w:r>
      <w:proofErr w:type="spellEnd"/>
      <w:r w:rsidRPr="00540A05">
        <w:rPr>
          <w:rFonts w:ascii="Times New Roman" w:hAnsi="Times New Roman" w:cs="Times New Roman"/>
          <w:sz w:val="28"/>
          <w:szCs w:val="28"/>
        </w:rPr>
        <w:t xml:space="preserve">, A., Hittinger, E., </w:t>
      </w:r>
      <w:proofErr w:type="spellStart"/>
      <w:r w:rsidRPr="00540A05">
        <w:rPr>
          <w:rFonts w:ascii="Times New Roman" w:hAnsi="Times New Roman" w:cs="Times New Roman"/>
          <w:sz w:val="28"/>
          <w:szCs w:val="28"/>
        </w:rPr>
        <w:t>Bouscayrol</w:t>
      </w:r>
      <w:proofErr w:type="spellEnd"/>
      <w:r w:rsidRPr="00540A05">
        <w:rPr>
          <w:rFonts w:ascii="Times New Roman" w:hAnsi="Times New Roman" w:cs="Times New Roman"/>
          <w:sz w:val="28"/>
          <w:szCs w:val="28"/>
        </w:rPr>
        <w:t>, A., Castex, E., &amp; Sirbu, G. M. (2020). Techno-economic comparison of the total cost of ownership of electric and diesel vehicles. IEEE Access, 8, 195752-195762</w:t>
      </w:r>
    </w:p>
    <w:sectPr w:rsidR="004F00F4" w:rsidRPr="0054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6F195" w14:textId="77777777" w:rsidR="00542854" w:rsidRDefault="00542854">
      <w:pPr>
        <w:spacing w:line="240" w:lineRule="auto"/>
      </w:pPr>
      <w:r>
        <w:separator/>
      </w:r>
    </w:p>
  </w:endnote>
  <w:endnote w:type="continuationSeparator" w:id="0">
    <w:p w14:paraId="6A17327E" w14:textId="77777777" w:rsidR="00542854" w:rsidRDefault="00542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E8B0E" w14:textId="77777777" w:rsidR="00542854" w:rsidRDefault="00542854">
      <w:pPr>
        <w:spacing w:after="0"/>
      </w:pPr>
      <w:r>
        <w:separator/>
      </w:r>
    </w:p>
  </w:footnote>
  <w:footnote w:type="continuationSeparator" w:id="0">
    <w:p w14:paraId="4F202CF8" w14:textId="77777777" w:rsidR="00542854" w:rsidRDefault="005428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1EE"/>
    <w:rsid w:val="0009598B"/>
    <w:rsid w:val="001430EF"/>
    <w:rsid w:val="004B1519"/>
    <w:rsid w:val="004E6D1D"/>
    <w:rsid w:val="004F00F4"/>
    <w:rsid w:val="00540A05"/>
    <w:rsid w:val="00542854"/>
    <w:rsid w:val="005B4BBF"/>
    <w:rsid w:val="0064615A"/>
    <w:rsid w:val="00737DDB"/>
    <w:rsid w:val="007B712F"/>
    <w:rsid w:val="007F7031"/>
    <w:rsid w:val="008777D7"/>
    <w:rsid w:val="009E1CFF"/>
    <w:rsid w:val="00CC0D5D"/>
    <w:rsid w:val="00D556E4"/>
    <w:rsid w:val="00DE41EE"/>
    <w:rsid w:val="00E262AD"/>
    <w:rsid w:val="00F23EC8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Sabarinadh Podila</cp:lastModifiedBy>
  <cp:revision>10</cp:revision>
  <dcterms:created xsi:type="dcterms:W3CDTF">2021-10-04T07:06:00Z</dcterms:created>
  <dcterms:modified xsi:type="dcterms:W3CDTF">2024-05-24T06:43:00Z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