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Foundations: Supervised vs Unsupervised Learning</w:t>
      </w:r>
    </w:p>
    <w:p>
      <w:pPr>
        <w:pStyle w:val="Heading1"/>
      </w:pPr>
      <w:r>
        <w:t>1. Supervised Learning and Loss Functions</w:t>
      </w:r>
    </w:p>
    <w:p>
      <w:r>
        <w:t>Supervised learning algorithms infer a mapping function from labeled training data. The objective is to minimize a continuous loss function, such as Mean Squared Error (MSE) for regression or Cross-Entropy Loss for categorical classification. Optimization is executed via gradient descent, iteratively adjusting weight matrices.</w:t>
      </w:r>
    </w:p>
    <w:p>
      <w:pPr>
        <w:pStyle w:val="Heading1"/>
      </w:pPr>
      <w:r>
        <w:t>2. Overfitting, Bias-Variance Tradeoff and Regularization</w:t>
      </w:r>
    </w:p>
    <w:p>
      <w:r>
        <w:t>A central challenge in empirical risk minimization is the bias-variance dilemma. High-bias models underfit by oversimplifying patterns, while high-variance models memorize stochastic noise in training samples. Regularization techniques (L1 Lasso, L2 Ridge, and Dropout) penalize parameter magnitudes to constrain model capacity and ensure out-of-sample generalization.</w:t>
      </w:r>
    </w:p>
    <w:p>
      <w:pPr>
        <w:pStyle w:val="Heading1"/>
      </w:pPr>
      <w:r>
        <w:t>3. Unsupervised Representation Learning and Clustering</w:t>
      </w:r>
    </w:p>
    <w:p>
      <w:r>
        <w:t>Unsupervised learning uncovers latent structures in unannotated data. Algorithms like K-Means partition feature vectors into Voronoi cells, while Principal Component Analysis (PCA) performs orthogonal linear projections along axes of maximal covariance.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