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TESTING REPORT</w:t>
      </w:r>
      <w:r/>
    </w:p>
    <w:p>
      <w:pPr>
        <w:pStyle w:val="Heading2"/>
      </w:pPr>
      <w:r>
        <w:t>SU26SWP08 — Parking Building Management System</w:t>
      </w:r>
      <w:r/>
    </w:p>
    <w:p>
      <w:pPr>
        <w:pBdr>
          <w:bottom w:val="single" w:sz="6" w:space="1" w:color="auto"/>
        </w:pBdr>
      </w:pPr>
      <w:r/>
    </w:p>
    <w:tbl>
      <w:tblPr>
        <w:tblW w:type="auto" w:w="0"/>
        <w:tblLook w:firstColumn="1" w:firstRow="1" w:lastColumn="0" w:lastRow="0" w:noHBand="0" w:noVBand="1" w:val="04A0"/>
      </w:tblPr>
      <w:tblGrid>
        <w:gridCol w:w="4320"/>
        <w:gridCol w:w="4320"/>
      </w:tblGrid>
      <w:tr>
        <w:tc>
          <w:tcPr>
            <w:tcW w:type="dxa" w:w="4320"/>
          </w:tcPr>
          <w:p>
            <w:r>
              <w:rPr>
                <w:b/>
              </w:rPr>
              <w:t>Document Information</w:t>
            </w:r>
          </w:p>
        </w:tc>
        <w:tc>
          <w:tcPr>
            <w:tcW w:type="dxa" w:w="4320"/>
          </w:tcPr>
          <w:p/>
        </w:tc>
      </w:tr>
      <w:tr>
        <w:tc>
          <w:tcPr>
            <w:tcW w:type="dxa" w:w="4320"/>
          </w:tcPr>
          <w:p>
            <w:r>
              <w:rPr>
                <w:b/>
              </w:rPr>
              <w:t>Project Code</w:t>
            </w:r>
          </w:p>
        </w:tc>
        <w:tc>
          <w:tcPr>
            <w:tcW w:type="dxa" w:w="4320"/>
          </w:tcPr>
          <w:p>
            <w:r>
              <w:t>SU26SWP08</w:t>
            </w:r>
          </w:p>
        </w:tc>
      </w:tr>
      <w:tr>
        <w:tc>
          <w:tcPr>
            <w:tcW w:type="dxa" w:w="4320"/>
          </w:tcPr>
          <w:p>
            <w:r>
              <w:rPr>
                <w:b/>
              </w:rPr>
              <w:t>Document Type</w:t>
            </w:r>
          </w:p>
        </w:tc>
        <w:tc>
          <w:tcPr>
            <w:tcW w:type="dxa" w:w="4320"/>
          </w:tcPr>
          <w:p>
            <w:r>
              <w:t>Testing Report (Template 5)</w:t>
            </w:r>
          </w:p>
        </w:tc>
      </w:tr>
      <w:tr>
        <w:tc>
          <w:tcPr>
            <w:tcW w:type="dxa" w:w="4320"/>
          </w:tcPr>
          <w:p>
            <w:r>
              <w:rPr>
                <w:b/>
              </w:rPr>
              <w:t>Version</w:t>
            </w:r>
          </w:p>
        </w:tc>
        <w:tc>
          <w:tcPr>
            <w:tcW w:type="dxa" w:w="4320"/>
          </w:tcPr>
          <w:p>
            <w:r>
              <w:t>1.0</w:t>
            </w:r>
          </w:p>
        </w:tc>
      </w:tr>
      <w:tr>
        <w:tc>
          <w:tcPr>
            <w:tcW w:type="dxa" w:w="4320"/>
          </w:tcPr>
          <w:p>
            <w:r>
              <w:rPr>
                <w:b/>
              </w:rPr>
              <w:t>Period</w:t>
            </w:r>
          </w:p>
        </w:tc>
        <w:tc>
          <w:tcPr>
            <w:tcW w:type="dxa" w:w="4320"/>
          </w:tcPr>
          <w:p>
            <w:r>
              <w:t>Sprint 1 – Sprint Final (June – July 2026)</w:t>
            </w:r>
          </w:p>
        </w:tc>
      </w:tr>
      <w:tr>
        <w:tc>
          <w:tcPr>
            <w:tcW w:type="dxa" w:w="4320"/>
          </w:tcPr>
          <w:p>
            <w:r>
              <w:rPr>
                <w:b/>
              </w:rPr>
              <w:t>Prepared By</w:t>
            </w:r>
          </w:p>
        </w:tc>
        <w:tc>
          <w:tcPr>
            <w:tcW w:type="dxa" w:w="4320"/>
          </w:tcPr>
          <w:p>
            <w:r>
              <w:t>SU26SWP08 Development Team</w:t>
            </w:r>
          </w:p>
        </w:tc>
      </w:tr>
    </w:tbl>
    <w:p>
      <w:r/>
    </w:p>
    <w:p>
      <w:pPr>
        <w:pBdr>
          <w:bottom w:val="single" w:sz="6" w:space="1" w:color="auto"/>
        </w:pBdr>
      </w:pPr>
      <w:r/>
    </w:p>
    <w:p>
      <w:pPr>
        <w:pStyle w:val="Heading2"/>
      </w:pPr>
      <w:r>
        <w:t>1. Quality Assurance Strategy</w:t>
      </w:r>
      <w:r/>
    </w:p>
    <w:p>
      <w:r/>
      <w:r>
        <w:t>Testing operations were conducted against internal business logic blocks, cross-boundary API interactions, and end-to-end browser flows.</w:t>
      </w:r>
      <w:r/>
    </w:p>
    <w:p>
      <w:pPr>
        <w:pStyle w:val="Heading3"/>
      </w:pPr>
      <w:r>
        <w:t>1.1 Methodology</w:t>
      </w:r>
      <w:r/>
      <w:r/>
    </w:p>
    <w:p>
      <w:pPr>
        <w:pStyle w:val="ListBullet"/>
        <w:spacing w:line="240" w:lineRule="auto"/>
        <w:ind w:left="720"/>
      </w:pPr>
      <w:r/>
      <w:r>
        <w:rPr>
          <w:b/>
        </w:rPr>
        <w:t>Unit and Integration Testing</w:t>
      </w:r>
      <w:r>
        <w:t>: xUnit combined with Entity Framework Core InMemory providers for database isolation.</w:t>
      </w:r>
      <w:r/>
    </w:p>
    <w:p>
      <w:pPr>
        <w:pStyle w:val="ListBullet"/>
        <w:spacing w:line="240" w:lineRule="auto"/>
        <w:ind w:left="720"/>
      </w:pPr>
      <w:r/>
      <w:r>
        <w:rPr>
          <w:b/>
        </w:rPr>
        <w:t>Endpoint Functional Testing</w:t>
      </w:r>
      <w:r>
        <w:t xml:space="preserve">: HTTP </w:t>
      </w:r>
      <w:r>
        <w:rPr>
          <w:rFonts w:ascii="Courier" w:hAnsi="Courier"/>
        </w:rPr>
        <w:t>.http</w:t>
      </w:r>
      <w:r>
        <w:t xml:space="preserve"> file execution and Scalar API console validation.</w:t>
      </w:r>
      <w:r/>
    </w:p>
    <w:p>
      <w:pPr>
        <w:pStyle w:val="ListBullet"/>
        <w:spacing w:line="240" w:lineRule="auto"/>
        <w:ind w:left="720"/>
      </w:pPr>
      <w:r/>
      <w:r>
        <w:rPr>
          <w:b/>
        </w:rPr>
        <w:t>End-to-End browser validation</w:t>
      </w:r>
      <w:r>
        <w:t>: Playwright assertion sweeps across typical operational pathways.</w:t>
      </w:r>
      <w:r/>
      <w:r/>
    </w:p>
    <w:p>
      <w:pPr>
        <w:pBdr>
          <w:bottom w:val="single" w:sz="6" w:space="1" w:color="auto"/>
        </w:pBdr>
      </w:pPr>
      <w:r/>
    </w:p>
    <w:p>
      <w:pPr>
        <w:pStyle w:val="Heading2"/>
      </w:pPr>
      <w:r>
        <w:t>2. Test Execution Records</w:t>
      </w:r>
      <w:r/>
    </w:p>
    <w:p>
      <w:pPr>
        <w:pStyle w:val="Heading3"/>
      </w:pPr>
      <w:r>
        <w:t>2.1 Pricing Service Unit Testing</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TC ID</w:t>
            </w:r>
          </w:p>
        </w:tc>
        <w:tc>
          <w:tcPr>
            <w:tcW w:type="dxa" w:w="1728"/>
          </w:tcPr>
          <w:p>
            <w:r>
              <w:rPr>
                <w:b/>
              </w:rPr>
              <w:t>Objective</w:t>
            </w:r>
          </w:p>
        </w:tc>
        <w:tc>
          <w:tcPr>
            <w:tcW w:type="dxa" w:w="1728"/>
          </w:tcPr>
          <w:p>
            <w:r>
              <w:rPr>
                <w:b/>
              </w:rPr>
              <w:t>Input Parameters</w:t>
            </w:r>
          </w:p>
        </w:tc>
        <w:tc>
          <w:tcPr>
            <w:tcW w:type="dxa" w:w="1728"/>
          </w:tcPr>
          <w:p>
            <w:r>
              <w:rPr>
                <w:b/>
              </w:rPr>
              <w:t>Expected Outcome</w:t>
            </w:r>
          </w:p>
        </w:tc>
        <w:tc>
          <w:tcPr>
            <w:tcW w:type="dxa" w:w="1728"/>
          </w:tcPr>
          <w:p>
            <w:r>
              <w:rPr>
                <w:b/>
              </w:rPr>
              <w:t>Result</w:t>
            </w:r>
          </w:p>
        </w:tc>
      </w:tr>
      <w:tr>
        <w:tc>
          <w:tcPr>
            <w:tcW w:type="dxa" w:w="1728"/>
          </w:tcPr>
          <w:p>
            <w:r>
              <w:t>TC-PRC-001</w:t>
            </w:r>
          </w:p>
        </w:tc>
        <w:tc>
          <w:tcPr>
            <w:tcW w:type="dxa" w:w="1728"/>
          </w:tcPr>
          <w:p>
            <w:r>
              <w:t>Validate Grace Period boundary</w:t>
            </w:r>
          </w:p>
        </w:tc>
        <w:tc>
          <w:tcPr>
            <w:tcW w:type="dxa" w:w="1728"/>
          </w:tcPr>
          <w:p>
            <w:r>
              <w:t>Duration = 14m, Grace = 15m</w:t>
            </w:r>
          </w:p>
        </w:tc>
        <w:tc>
          <w:tcPr>
            <w:tcW w:type="dxa" w:w="1728"/>
          </w:tcPr>
          <w:p>
            <w:r>
              <w:t>Fee = 0</w:t>
            </w:r>
          </w:p>
        </w:tc>
        <w:tc>
          <w:tcPr>
            <w:tcW w:type="dxa" w:w="1728"/>
          </w:tcPr>
          <w:p>
            <w:r>
              <w:t>PASS</w:t>
            </w:r>
          </w:p>
        </w:tc>
      </w:tr>
      <w:tr>
        <w:tc>
          <w:tcPr>
            <w:tcW w:type="dxa" w:w="1728"/>
          </w:tcPr>
          <w:p>
            <w:r>
              <w:t>TC-PRC-002</w:t>
            </w:r>
          </w:p>
        </w:tc>
        <w:tc>
          <w:tcPr>
            <w:tcW w:type="dxa" w:w="1728"/>
          </w:tcPr>
          <w:p>
            <w:r>
              <w:t>Calculate standard hourly rounding</w:t>
            </w:r>
          </w:p>
        </w:tc>
        <w:tc>
          <w:tcPr>
            <w:tcW w:type="dxa" w:w="1728"/>
          </w:tcPr>
          <w:p>
            <w:r>
              <w:t>Duration = 2.5h, Rate = 5,000</w:t>
            </w:r>
          </w:p>
        </w:tc>
        <w:tc>
          <w:tcPr>
            <w:tcW w:type="dxa" w:w="1728"/>
          </w:tcPr>
          <w:p>
            <w:r>
              <w:t>Fee = 15,000</w:t>
            </w:r>
          </w:p>
        </w:tc>
        <w:tc>
          <w:tcPr>
            <w:tcW w:type="dxa" w:w="1728"/>
          </w:tcPr>
          <w:p>
            <w:r>
              <w:t>PASS</w:t>
            </w:r>
          </w:p>
        </w:tc>
      </w:tr>
      <w:tr>
        <w:tc>
          <w:tcPr>
            <w:tcW w:type="dxa" w:w="1728"/>
          </w:tcPr>
          <w:p>
            <w:r>
              <w:t>TC-PRC-003</w:t>
            </w:r>
          </w:p>
        </w:tc>
        <w:tc>
          <w:tcPr>
            <w:tcW w:type="dxa" w:w="1728"/>
          </w:tcPr>
          <w:p>
            <w:r>
              <w:t>Enforce daily cap logic</w:t>
            </w:r>
          </w:p>
        </w:tc>
        <w:tc>
          <w:tcPr>
            <w:tcW w:type="dxa" w:w="1728"/>
          </w:tcPr>
          <w:p>
            <w:r>
              <w:t>Duration = 12h, Cap = 50,000</w:t>
            </w:r>
          </w:p>
        </w:tc>
        <w:tc>
          <w:tcPr>
            <w:tcW w:type="dxa" w:w="1728"/>
          </w:tcPr>
          <w:p>
            <w:r>
              <w:t>Fee = 50,000</w:t>
            </w:r>
          </w:p>
        </w:tc>
        <w:tc>
          <w:tcPr>
            <w:tcW w:type="dxa" w:w="1728"/>
          </w:tcPr>
          <w:p>
            <w:r>
              <w:t>PASS</w:t>
            </w:r>
          </w:p>
        </w:tc>
      </w:tr>
      <w:tr>
        <w:tc>
          <w:tcPr>
            <w:tcW w:type="dxa" w:w="1728"/>
          </w:tcPr>
          <w:p>
            <w:r>
              <w:t>TC-PRC-004</w:t>
            </w:r>
          </w:p>
        </w:tc>
        <w:tc>
          <w:tcPr>
            <w:tcW w:type="dxa" w:w="1728"/>
          </w:tcPr>
          <w:p>
            <w:r>
              <w:t>Apply subscription discount</w:t>
            </w:r>
          </w:p>
        </w:tc>
        <w:tc>
          <w:tcPr>
            <w:tcW w:type="dxa" w:w="1728"/>
          </w:tcPr>
          <w:p>
            <w:r>
              <w:t>Rate = 5,000, SubActive = true</w:t>
            </w:r>
          </w:p>
        </w:tc>
        <w:tc>
          <w:tcPr>
            <w:tcW w:type="dxa" w:w="1728"/>
          </w:tcPr>
          <w:p>
            <w:r>
              <w:t>Fee = 0</w:t>
            </w:r>
          </w:p>
        </w:tc>
        <w:tc>
          <w:tcPr>
            <w:tcW w:type="dxa" w:w="1728"/>
          </w:tcPr>
          <w:p>
            <w:r>
              <w:t>PASS</w:t>
            </w:r>
          </w:p>
        </w:tc>
      </w:tr>
    </w:tbl>
    <w:p>
      <w:r/>
    </w:p>
    <w:p>
      <w:pPr>
        <w:pStyle w:val="Heading3"/>
      </w:pPr>
      <w:r>
        <w:t>2.2 Integration Data Workflows</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TC ID</w:t>
            </w:r>
          </w:p>
        </w:tc>
        <w:tc>
          <w:tcPr>
            <w:tcW w:type="dxa" w:w="1728"/>
          </w:tcPr>
          <w:p>
            <w:r>
              <w:rPr>
                <w:b/>
              </w:rPr>
              <w:t>Objective</w:t>
            </w:r>
          </w:p>
        </w:tc>
        <w:tc>
          <w:tcPr>
            <w:tcW w:type="dxa" w:w="1728"/>
          </w:tcPr>
          <w:p>
            <w:r>
              <w:rPr>
                <w:b/>
              </w:rPr>
              <w:t>Procedure</w:t>
            </w:r>
          </w:p>
        </w:tc>
        <w:tc>
          <w:tcPr>
            <w:tcW w:type="dxa" w:w="1728"/>
          </w:tcPr>
          <w:p>
            <w:r>
              <w:rPr>
                <w:b/>
              </w:rPr>
              <w:t>Expected Outcome</w:t>
            </w:r>
          </w:p>
        </w:tc>
        <w:tc>
          <w:tcPr>
            <w:tcW w:type="dxa" w:w="1728"/>
          </w:tcPr>
          <w:p>
            <w:r>
              <w:rPr>
                <w:b/>
              </w:rPr>
              <w:t>Result</w:t>
            </w:r>
          </w:p>
        </w:tc>
      </w:tr>
      <w:tr>
        <w:tc>
          <w:tcPr>
            <w:tcW w:type="dxa" w:w="1728"/>
          </w:tcPr>
          <w:p>
            <w:r>
              <w:t>TC-INT-001</w:t>
            </w:r>
          </w:p>
        </w:tc>
        <w:tc>
          <w:tcPr>
            <w:tcW w:type="dxa" w:w="1728"/>
          </w:tcPr>
          <w:p>
            <w:r>
              <w:t>Standard Check-In Sequence</w:t>
            </w:r>
          </w:p>
        </w:tc>
        <w:tc>
          <w:tcPr>
            <w:tcW w:type="dxa" w:w="1728"/>
          </w:tcPr>
          <w:p>
            <w:r>
              <w:t>Invoke CheckIn Async</w:t>
            </w:r>
          </w:p>
        </w:tc>
        <w:tc>
          <w:tcPr>
            <w:tcW w:type="dxa" w:w="1728"/>
          </w:tcPr>
          <w:p>
            <w:r>
              <w:t>Slot = Occupied; Session = Active</w:t>
            </w:r>
          </w:p>
        </w:tc>
        <w:tc>
          <w:tcPr>
            <w:tcW w:type="dxa" w:w="1728"/>
          </w:tcPr>
          <w:p>
            <w:r>
              <w:t>PASS</w:t>
            </w:r>
          </w:p>
        </w:tc>
      </w:tr>
      <w:tr>
        <w:tc>
          <w:tcPr>
            <w:tcW w:type="dxa" w:w="1728"/>
          </w:tcPr>
          <w:p>
            <w:r>
              <w:t>TC-INT-002</w:t>
            </w:r>
          </w:p>
        </w:tc>
        <w:tc>
          <w:tcPr>
            <w:tcW w:type="dxa" w:w="1728"/>
          </w:tcPr>
          <w:p>
            <w:r>
              <w:t>Session Duplication Block</w:t>
            </w:r>
          </w:p>
        </w:tc>
        <w:tc>
          <w:tcPr>
            <w:tcW w:type="dxa" w:w="1728"/>
          </w:tcPr>
          <w:p>
            <w:r>
              <w:t>Secondary CheckIn (same plate)</w:t>
            </w:r>
          </w:p>
        </w:tc>
        <w:tc>
          <w:tcPr>
            <w:tcW w:type="dxa" w:w="1728"/>
          </w:tcPr>
          <w:p>
            <w:r>
              <w:t>Throw BusinessException</w:t>
            </w:r>
          </w:p>
        </w:tc>
        <w:tc>
          <w:tcPr>
            <w:tcW w:type="dxa" w:w="1728"/>
          </w:tcPr>
          <w:p>
            <w:r>
              <w:t>PASS</w:t>
            </w:r>
          </w:p>
        </w:tc>
      </w:tr>
      <w:tr>
        <w:tc>
          <w:tcPr>
            <w:tcW w:type="dxa" w:w="1728"/>
          </w:tcPr>
          <w:p>
            <w:r>
              <w:t>TC-INT-003</w:t>
            </w:r>
          </w:p>
        </w:tc>
        <w:tc>
          <w:tcPr>
            <w:tcW w:type="dxa" w:w="1728"/>
          </w:tcPr>
          <w:p>
            <w:r>
              <w:t>Reservation Completion</w:t>
            </w:r>
          </w:p>
        </w:tc>
        <w:tc>
          <w:tcPr>
            <w:tcW w:type="dxa" w:w="1728"/>
          </w:tcPr>
          <w:p>
            <w:r>
              <w:t>CheckIn with Confirmed Reservation ID</w:t>
            </w:r>
          </w:p>
        </w:tc>
        <w:tc>
          <w:tcPr>
            <w:tcW w:type="dxa" w:w="1728"/>
          </w:tcPr>
          <w:p>
            <w:r>
              <w:t>Slot targets reserved assignment</w:t>
            </w:r>
          </w:p>
        </w:tc>
        <w:tc>
          <w:tcPr>
            <w:tcW w:type="dxa" w:w="1728"/>
          </w:tcPr>
          <w:p>
            <w:r>
              <w:t>PASS</w:t>
            </w:r>
          </w:p>
        </w:tc>
      </w:tr>
      <w:tr>
        <w:tc>
          <w:tcPr>
            <w:tcW w:type="dxa" w:w="1728"/>
          </w:tcPr>
          <w:p>
            <w:r>
              <w:t>TC-INT-004</w:t>
            </w:r>
          </w:p>
        </w:tc>
        <w:tc>
          <w:tcPr>
            <w:tcW w:type="dxa" w:w="1728"/>
          </w:tcPr>
          <w:p>
            <w:r>
              <w:t>Background Auto-Expiry</w:t>
            </w:r>
          </w:p>
        </w:tc>
        <w:tc>
          <w:tcPr>
            <w:tcW w:type="dxa" w:w="1728"/>
          </w:tcPr>
          <w:p>
            <w:r>
              <w:t>Execute Expiry Scheduler</w:t>
            </w:r>
          </w:p>
        </w:tc>
        <w:tc>
          <w:tcPr>
            <w:tcW w:type="dxa" w:w="1728"/>
          </w:tcPr>
          <w:p>
            <w:r>
              <w:t>Expired reservations release slots</w:t>
            </w:r>
          </w:p>
        </w:tc>
        <w:tc>
          <w:tcPr>
            <w:tcW w:type="dxa" w:w="1728"/>
          </w:tcPr>
          <w:p>
            <w:r>
              <w:t>PASS</w:t>
            </w:r>
          </w:p>
        </w:tc>
      </w:tr>
    </w:tbl>
    <w:p>
      <w:r/>
    </w:p>
    <w:p>
      <w:pPr>
        <w:pStyle w:val="Heading3"/>
      </w:pPr>
      <w:r>
        <w:t>2.3 System End-to-End Scenarios</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TC ID</w:t>
            </w:r>
          </w:p>
        </w:tc>
        <w:tc>
          <w:tcPr>
            <w:tcW w:type="dxa" w:w="1728"/>
          </w:tcPr>
          <w:p>
            <w:r>
              <w:rPr>
                <w:b/>
              </w:rPr>
              <w:t>Actor</w:t>
            </w:r>
          </w:p>
        </w:tc>
        <w:tc>
          <w:tcPr>
            <w:tcW w:type="dxa" w:w="1728"/>
          </w:tcPr>
          <w:p>
            <w:r>
              <w:rPr>
                <w:b/>
              </w:rPr>
              <w:t>Application Flow sequence</w:t>
            </w:r>
          </w:p>
        </w:tc>
        <w:tc>
          <w:tcPr>
            <w:tcW w:type="dxa" w:w="1728"/>
          </w:tcPr>
          <w:p>
            <w:r>
              <w:rPr>
                <w:b/>
              </w:rPr>
              <w:t>Outcome</w:t>
            </w:r>
          </w:p>
        </w:tc>
        <w:tc>
          <w:tcPr>
            <w:tcW w:type="dxa" w:w="1728"/>
          </w:tcPr>
          <w:p>
            <w:r>
              <w:rPr>
                <w:b/>
              </w:rPr>
              <w:t>Result</w:t>
            </w:r>
          </w:p>
        </w:tc>
      </w:tr>
      <w:tr>
        <w:tc>
          <w:tcPr>
            <w:tcW w:type="dxa" w:w="1728"/>
          </w:tcPr>
          <w:p>
            <w:r>
              <w:t>TC-E2E-001</w:t>
            </w:r>
          </w:p>
        </w:tc>
        <w:tc>
          <w:tcPr>
            <w:tcW w:type="dxa" w:w="1728"/>
          </w:tcPr>
          <w:p>
            <w:r>
              <w:t>Staff</w:t>
            </w:r>
          </w:p>
        </w:tc>
        <w:tc>
          <w:tcPr>
            <w:tcW w:type="dxa" w:w="1728"/>
          </w:tcPr>
          <w:p>
            <w:r>
              <w:t>Staff Login → Open Dashboard → Input Plate → Auto Assign Slot → Monitor SignalR Event</w:t>
            </w:r>
          </w:p>
        </w:tc>
        <w:tc>
          <w:tcPr>
            <w:tcW w:type="dxa" w:w="1728"/>
          </w:tcPr>
          <w:p>
            <w:r>
              <w:t>Slot renders red (Occupied)</w:t>
            </w:r>
          </w:p>
        </w:tc>
        <w:tc>
          <w:tcPr>
            <w:tcW w:type="dxa" w:w="1728"/>
          </w:tcPr>
          <w:p>
            <w:r>
              <w:t>PASS</w:t>
            </w:r>
          </w:p>
        </w:tc>
      </w:tr>
      <w:tr>
        <w:tc>
          <w:tcPr>
            <w:tcW w:type="dxa" w:w="1728"/>
          </w:tcPr>
          <w:p>
            <w:r>
              <w:t>TC-E2E-002</w:t>
            </w:r>
          </w:p>
        </w:tc>
        <w:tc>
          <w:tcPr>
            <w:tcW w:type="dxa" w:w="1728"/>
          </w:tcPr>
          <w:p>
            <w:r>
              <w:t>Driver</w:t>
            </w:r>
          </w:p>
        </w:tc>
        <w:tc>
          <w:tcPr>
            <w:tcW w:type="dxa" w:w="1728"/>
          </w:tcPr>
          <w:p>
            <w:r>
              <w:t>Driver Login → Execute Wallet Top-up → Select 50000 VND → Confirm Demo Flow</w:t>
            </w:r>
          </w:p>
        </w:tc>
        <w:tc>
          <w:tcPr>
            <w:tcW w:type="dxa" w:w="1728"/>
          </w:tcPr>
          <w:p>
            <w:r>
              <w:t>Balance reflects +50000</w:t>
            </w:r>
          </w:p>
        </w:tc>
        <w:tc>
          <w:tcPr>
            <w:tcW w:type="dxa" w:w="1728"/>
          </w:tcPr>
          <w:p>
            <w:r>
              <w:t>PASS</w:t>
            </w:r>
          </w:p>
        </w:tc>
      </w:tr>
      <w:tr>
        <w:tc>
          <w:tcPr>
            <w:tcW w:type="dxa" w:w="1728"/>
          </w:tcPr>
          <w:p>
            <w:r>
              <w:t>TC-E2E-003</w:t>
            </w:r>
          </w:p>
        </w:tc>
        <w:tc>
          <w:tcPr>
            <w:tcW w:type="dxa" w:w="1728"/>
          </w:tcPr>
          <w:p>
            <w:r>
              <w:t>Manager</w:t>
            </w:r>
          </w:p>
        </w:tc>
        <w:tc>
          <w:tcPr>
            <w:tcW w:type="dxa" w:w="1728"/>
          </w:tcPr>
          <w:p>
            <w:r>
              <w:t>Open Reporting Grid → Submit Check-out event parallelly</w:t>
            </w:r>
          </w:p>
        </w:tc>
        <w:tc>
          <w:tcPr>
            <w:tcW w:type="dxa" w:w="1728"/>
          </w:tcPr>
          <w:p>
            <w:r>
              <w:t>Dashboard metric increments</w:t>
            </w:r>
          </w:p>
        </w:tc>
        <w:tc>
          <w:tcPr>
            <w:tcW w:type="dxa" w:w="1728"/>
          </w:tcPr>
          <w:p>
            <w:r>
              <w:t>PASS</w:t>
            </w:r>
          </w:p>
        </w:tc>
      </w:tr>
    </w:tbl>
    <w:p>
      <w:r/>
    </w:p>
    <w:p>
      <w:pPr>
        <w:pBdr>
          <w:bottom w:val="single" w:sz="6" w:space="1" w:color="auto"/>
        </w:pBdr>
      </w:pPr>
      <w:r/>
    </w:p>
    <w:p>
      <w:pPr>
        <w:pStyle w:val="Heading2"/>
      </w:pPr>
      <w:r>
        <w:t>3. Performance Profiling</w:t>
      </w:r>
      <w:r/>
    </w:p>
    <w:p>
      <w:r/>
      <w:r>
        <w:t>Operations timed under controlled execution to validate compliance with NFRs.</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Measurement Class</w:t>
            </w:r>
          </w:p>
        </w:tc>
        <w:tc>
          <w:tcPr>
            <w:tcW w:type="dxa" w:w="1728"/>
          </w:tcPr>
          <w:p>
            <w:r>
              <w:rPr>
                <w:b/>
              </w:rPr>
              <w:t>Target Threshold</w:t>
            </w:r>
          </w:p>
        </w:tc>
        <w:tc>
          <w:tcPr>
            <w:tcW w:type="dxa" w:w="1728"/>
          </w:tcPr>
          <w:p>
            <w:r>
              <w:rPr>
                <w:b/>
              </w:rPr>
              <w:t>P50 Execution</w:t>
            </w:r>
          </w:p>
        </w:tc>
        <w:tc>
          <w:tcPr>
            <w:tcW w:type="dxa" w:w="1728"/>
          </w:tcPr>
          <w:p>
            <w:r>
              <w:rPr>
                <w:b/>
              </w:rPr>
              <w:t>P95 Execution</w:t>
            </w:r>
          </w:p>
        </w:tc>
        <w:tc>
          <w:tcPr>
            <w:tcW w:type="dxa" w:w="1728"/>
          </w:tcPr>
          <w:p>
            <w:r>
              <w:rPr>
                <w:b/>
              </w:rPr>
              <w:t>Status</w:t>
            </w:r>
          </w:p>
        </w:tc>
      </w:tr>
      <w:tr>
        <w:tc>
          <w:tcPr>
            <w:tcW w:type="dxa" w:w="1728"/>
          </w:tcPr>
          <w:p>
            <w:r>
              <w:t>API Standard Read Overhead</w:t>
            </w:r>
          </w:p>
        </w:tc>
        <w:tc>
          <w:tcPr>
            <w:tcW w:type="dxa" w:w="1728"/>
          </w:tcPr>
          <w:p>
            <w:r>
              <w:t>&lt; 500 ms</w:t>
            </w:r>
          </w:p>
        </w:tc>
        <w:tc>
          <w:tcPr>
            <w:tcW w:type="dxa" w:w="1728"/>
          </w:tcPr>
          <w:p>
            <w:r>
              <w:t>120 ms</w:t>
            </w:r>
          </w:p>
        </w:tc>
        <w:tc>
          <w:tcPr>
            <w:tcW w:type="dxa" w:w="1728"/>
          </w:tcPr>
          <w:p>
            <w:r>
              <w:t>450 ms</w:t>
            </w:r>
          </w:p>
        </w:tc>
        <w:tc>
          <w:tcPr>
            <w:tcW w:type="dxa" w:w="1728"/>
          </w:tcPr>
          <w:p>
            <w:r>
              <w:t>PASS</w:t>
            </w:r>
          </w:p>
        </w:tc>
      </w:tr>
      <w:tr>
        <w:tc>
          <w:tcPr>
            <w:tcW w:type="dxa" w:w="1728"/>
          </w:tcPr>
          <w:p>
            <w:r>
              <w:t>Complex Database Transaction</w:t>
            </w:r>
          </w:p>
        </w:tc>
        <w:tc>
          <w:tcPr>
            <w:tcW w:type="dxa" w:w="1728"/>
          </w:tcPr>
          <w:p>
            <w:r>
              <w:t>&lt; 2.0 s</w:t>
            </w:r>
          </w:p>
        </w:tc>
        <w:tc>
          <w:tcPr>
            <w:tcW w:type="dxa" w:w="1728"/>
          </w:tcPr>
          <w:p>
            <w:r>
              <w:t>380 ms</w:t>
            </w:r>
          </w:p>
        </w:tc>
        <w:tc>
          <w:tcPr>
            <w:tcW w:type="dxa" w:w="1728"/>
          </w:tcPr>
          <w:p>
            <w:r>
              <w:t>1.2 s</w:t>
            </w:r>
          </w:p>
        </w:tc>
        <w:tc>
          <w:tcPr>
            <w:tcW w:type="dxa" w:w="1728"/>
          </w:tcPr>
          <w:p>
            <w:r>
              <w:t>PASS</w:t>
            </w:r>
          </w:p>
        </w:tc>
      </w:tr>
      <w:tr>
        <w:tc>
          <w:tcPr>
            <w:tcW w:type="dxa" w:w="1728"/>
          </w:tcPr>
          <w:p>
            <w:r>
              <w:t>SignalR Broadcast Latency</w:t>
            </w:r>
          </w:p>
        </w:tc>
        <w:tc>
          <w:tcPr>
            <w:tcW w:type="dxa" w:w="1728"/>
          </w:tcPr>
          <w:p>
            <w:r>
              <w:t>&lt; 2.0 s</w:t>
            </w:r>
          </w:p>
        </w:tc>
        <w:tc>
          <w:tcPr>
            <w:tcW w:type="dxa" w:w="1728"/>
          </w:tcPr>
          <w:p>
            <w:r>
              <w:t>N/A</w:t>
            </w:r>
          </w:p>
        </w:tc>
        <w:tc>
          <w:tcPr>
            <w:tcW w:type="dxa" w:w="1728"/>
          </w:tcPr>
          <w:p>
            <w:r>
              <w:t>1.4 s</w:t>
            </w:r>
          </w:p>
        </w:tc>
        <w:tc>
          <w:tcPr>
            <w:tcW w:type="dxa" w:w="1728"/>
          </w:tcPr>
          <w:p>
            <w:r>
              <w:t>PASS</w:t>
            </w:r>
          </w:p>
        </w:tc>
      </w:tr>
    </w:tbl>
    <w:p>
      <w:r/>
    </w:p>
    <w:p>
      <w:pPr>
        <w:pBdr>
          <w:bottom w:val="single" w:sz="6" w:space="1" w:color="auto"/>
        </w:pBdr>
      </w:pPr>
      <w:r/>
    </w:p>
    <w:p>
      <w:pPr>
        <w:pStyle w:val="Heading2"/>
      </w:pPr>
      <w:r>
        <w:t>4. Defect Management Summary</w:t>
      </w:r>
      <w:r/>
    </w:p>
    <w:p>
      <w:r/>
      <w:r>
        <w:t>A cumulative 15 defects classified as Medium or higher were intercepted during system testing blocks. All logged defects were successfully triaged, remediated, and verified closing prior to final tag. Release candidate contains zero known blocking regression bugs.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