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2F44" w14:textId="77777777" w:rsidR="00B64D28" w:rsidRPr="00301DA9" w:rsidRDefault="00B64D28" w:rsidP="00B64D28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01DA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ТЕСТИ</w:t>
      </w:r>
    </w:p>
    <w:p w14:paraId="6F073178" w14:textId="77777777" w:rsidR="00B64D28" w:rsidRPr="00301DA9" w:rsidRDefault="00B64D28" w:rsidP="00B64D28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01DA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математика </w:t>
      </w:r>
    </w:p>
    <w:p w14:paraId="1A1964EE" w14:textId="77777777" w:rsidR="00B64D28" w:rsidRPr="00301DA9" w:rsidRDefault="00B64D28" w:rsidP="00B64D28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B41BD40" w14:textId="77777777" w:rsidR="00B64D28" w:rsidRPr="0060471C" w:rsidRDefault="00B64D28" w:rsidP="00B64D28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1DA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ПЕРЕДМОВА</w:t>
      </w:r>
    </w:p>
    <w:p w14:paraId="04063957" w14:textId="7CEBCC5A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Ц</w:t>
      </w:r>
      <w:r w:rsidR="00A3342E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3342E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тести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признача</w:t>
      </w:r>
      <w:r w:rsidR="00A3342E">
        <w:rPr>
          <w:rFonts w:ascii="Times New Roman" w:hAnsi="Times New Roman" w:cs="Times New Roman"/>
          <w:color w:val="000000"/>
          <w:sz w:val="28"/>
          <w:szCs w:val="28"/>
          <w:lang w:val="uk-UA"/>
        </w:rPr>
        <w:t>ют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ься для організації і проведення тестово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ї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перевірки знань з математики, яка передбачає розв'язування задач </w:t>
      </w:r>
      <w:r w:rsidR="00A3342E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вправ, які складають базовий рівень математичної підготовки старшокласників. При складанні </w:t>
      </w:r>
      <w:r w:rsidR="00A3342E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тестів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критерій складності завдань прийнято кількість логічних кроків або розумових операцій, які необхідно реалізувати аби їх розв'язати. Зрозуміло, що складність завдань І запитань визначається не лише кількістю кроків або операцій, але й рядом інших факторів, зокрема, формою запису умови, структурою, необхідністю використовувати штучні прийоми, які спеціально формуються. Щоб уникнути цього, завдання тестів, як правило, даються у звичній формі запису умови аналогічно до тих, що дані у підручнику,</w:t>
      </w:r>
    </w:p>
    <w:p w14:paraId="7DD26018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І рівень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- це вправи і запитання на 1-2 логічних кроки переважно репродуктивного характеру. Для відповіді на них учням досить знати правила, означення, теореми, формули, найпростіші залежності між компонентами математичних дій, елементами геометричних фігур.</w:t>
      </w:r>
    </w:p>
    <w:p w14:paraId="0ABD8058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II</w:t>
      </w:r>
      <w:r w:rsidRPr="00301DA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01DA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рівень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включає більш складніші завдання на 2-4 логічних кроки, а їх розв'язання потребують дещо ширшого кола математичних знань, вмінь і практичних навичок.</w:t>
      </w:r>
    </w:p>
    <w:p w14:paraId="22F15AC1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і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301D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рівні містять вправи обов'язкових результатів і характеризують основний рівень базової математичної підготовки випусників шкіл, як це передбачено програмами.</w:t>
      </w:r>
    </w:p>
    <w:p w14:paraId="20336D17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Нарешті, </w:t>
      </w:r>
      <w:r w:rsidRPr="00301D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III</w:t>
      </w:r>
      <w:r w:rsidRPr="00301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01DA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рівень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- це завдання на 4-6 логічних кроки, розв'язання яких вимагає творчого застосування набутих знань. Вправи цього рівня складають підвищений рівень базової математичної освіти випускників шкіл, ліцеїв та гімназій.</w:t>
      </w:r>
    </w:p>
    <w:p w14:paraId="6FECD010" w14:textId="77777777" w:rsidR="00B64D28" w:rsidRPr="00301DA9" w:rsidRDefault="00B64D28" w:rsidP="00B64D28">
      <w:pPr>
        <w:shd w:val="clear" w:color="auto" w:fill="FFFFFF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кожного завдання перших двох рівнів дано кілька варіантів відповідей, одна з яких правильна. Слід зазначити, що форма відповіді може бути різною, особливо, коли це стосується тригонометричних функцій, рівнянь, нерівностей і систем, окремих випадків на перетворення виразів. Тому дотримуватись треба тих, які дані у варіантах відповідей, хоч й інші форми запису розв'язків слід зараховувати як правильні.</w:t>
      </w:r>
    </w:p>
    <w:p w14:paraId="6AF6E54E" w14:textId="77777777" w:rsidR="00B64D28" w:rsidRPr="00301DA9" w:rsidRDefault="00B64D28" w:rsidP="00B64D28">
      <w:pPr>
        <w:shd w:val="clear" w:color="auto" w:fill="FFFFFF"/>
        <w:ind w:firstLine="426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Розв'язання завдань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  <w:r w:rsidRPr="00301D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рівня мають традиційний характер.</w:t>
      </w:r>
    </w:p>
    <w:p w14:paraId="1CC7C5F8" w14:textId="77777777" w:rsidR="00B64D28" w:rsidRPr="00301DA9" w:rsidRDefault="00B64D28" w:rsidP="00B64D28">
      <w:pPr>
        <w:shd w:val="clear" w:color="auto" w:fill="FFFFFF"/>
        <w:ind w:firstLine="426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Письмові записи повинні містити логічний виклад розв'язування, в якому наводяться Ілюстрації, використані формули, співвідношення між ними, посилання на певні властивості, тощо. Головне, щоб еони досить повно відображали рівень математичної підготовки випускника і за ними можна було простежити хід міркувань. Форма записів довільна.</w:t>
      </w:r>
    </w:p>
    <w:p w14:paraId="37026C79" w14:textId="77777777" w:rsidR="00B64D28" w:rsidRPr="00301DA9" w:rsidRDefault="00B64D28" w:rsidP="00B64D28">
      <w:pPr>
        <w:shd w:val="clear" w:color="auto" w:fill="FFFFFF"/>
        <w:ind w:firstLine="426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зручності правильність виконання тестових завдань оцінюється спочатку в системі "плюс -мінус", а потім в балах.</w:t>
      </w:r>
    </w:p>
    <w:p w14:paraId="73082C54" w14:textId="77777777" w:rsidR="00B64D28" w:rsidRPr="00301DA9" w:rsidRDefault="00B64D28" w:rsidP="00B64D28">
      <w:pPr>
        <w:shd w:val="clear" w:color="auto" w:fill="FFFFFF"/>
        <w:ind w:firstLine="426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Виконання завдань на І рівні оцінюється альтернативно: за правильну відповідь виставляється „+" або 1 бал, а за її відсутності "-" або 0 балів.</w:t>
      </w:r>
    </w:p>
    <w:p w14:paraId="1B999292" w14:textId="77777777" w:rsidR="00B64D28" w:rsidRPr="00301DA9" w:rsidRDefault="00B64D28" w:rsidP="00B64D28">
      <w:pPr>
        <w:shd w:val="clear" w:color="auto" w:fill="FFFFFF"/>
        <w:ind w:firstLine="426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301D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рівні:</w:t>
      </w:r>
    </w:p>
    <w:p w14:paraId="6D98AED9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1/ за правильну відповідь з письмовими записами, що</w:t>
      </w:r>
      <w:r w:rsidRPr="00301DA9">
        <w:rPr>
          <w:rFonts w:ascii="Times New Roman" w:hAnsi="Times New Roman" w:cs="Times New Roman"/>
          <w:smallCaps/>
          <w:color w:val="000000"/>
          <w:sz w:val="28"/>
          <w:szCs w:val="28"/>
          <w:lang w:val="uk-UA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містять помилок, виставляють "+" /2 бали/;</w:t>
      </w:r>
    </w:p>
    <w:p w14:paraId="1578A36F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2/ за</w:t>
      </w:r>
      <w:r w:rsidRPr="00301DA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неправильну    відповідь    з    відповідними письмовими записами, виставляють "±" /1 бал/;</w:t>
      </w:r>
    </w:p>
    <w:p w14:paraId="5022A2AE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3/ у решті випадків - "-" або 0 балів.</w:t>
      </w:r>
    </w:p>
    <w:p w14:paraId="5BC7C061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  <w:r w:rsidRPr="00301D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рівні:</w:t>
      </w:r>
    </w:p>
    <w:p w14:paraId="192C3AE8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1/ за правильну відповідь і записи без помилок виставляють "+"  /3 бали/;</w:t>
      </w:r>
    </w:p>
    <w:p w14:paraId="50DC9ED0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2/ за правильну відповідь і записи з помилками або за неправильну відповідь і відповідні записи, які свідчать про самостійність розв'язування, виставляють "±"  /2 бали/;</w:t>
      </w:r>
    </w:p>
    <w:p w14:paraId="3AC564CF" w14:textId="77777777" w:rsidR="00B64D28" w:rsidRPr="00301DA9" w:rsidRDefault="00A3342E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object w:dxaOrig="1440" w:dyaOrig="1440" w14:anchorId="53E448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74.2pt;margin-top:2.5pt;width:11pt;height:12pt;z-index:251659264">
            <v:imagedata r:id="rId4" o:title=""/>
          </v:shape>
          <o:OLEObject Type="Embed" ProgID="Equation.3" ShapeID="_x0000_s1026" DrawAspect="Content" ObjectID="_1692895533" r:id="rId5"/>
        </w:object>
      </w:r>
      <w:r w:rsidR="00B64D28"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З/ за часткове розв'язання, яке не доведене до відповіді, виставляють "±"  /1 бал/;</w:t>
      </w:r>
    </w:p>
    <w:p w14:paraId="41B92B79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4/ у решті випадків -   "-" або 0 балів.</w:t>
      </w:r>
    </w:p>
    <w:p w14:paraId="77C5855D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тестування випускників складають тест, які включає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30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завдань по одному з кожного рівні кожної теми. Таким чином за правильне виконання всіх завдань можна максимально набрати 60 балів: 10 - на І, 20 - на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301D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30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на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  <w:r w:rsidRPr="00301D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рівні.</w:t>
      </w:r>
    </w:p>
    <w:p w14:paraId="6F9A3AC4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Тест виконується за 4 години /або 240 хв./. З огляду на складність вправ на виконання одного завдання І рівня орієнтовно відводиться 4 хв.,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301D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8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хв. і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  <w:r w:rsidRPr="00301D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хв.</w:t>
      </w:r>
    </w:p>
    <w:p w14:paraId="0ACD6652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У процесі роботи вчителі можуть використовувати цей посібник для поточного тематичного і підсумкового контролю за рівнем і якістю базової математичної підготовки учнів.</w:t>
      </w:r>
    </w:p>
    <w:p w14:paraId="04DB07AC" w14:textId="77777777" w:rsidR="00B64D28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1DA9">
        <w:rPr>
          <w:rFonts w:ascii="Times New Roman" w:hAnsi="Times New Roman" w:cs="Times New Roman"/>
          <w:color w:val="000000"/>
          <w:sz w:val="28"/>
          <w:szCs w:val="28"/>
          <w:lang w:val="uk-UA"/>
        </w:rPr>
        <w:t>В разі необхідності результати тестування можуть оцінюватися за традиційною чотирибальною системою. Для цього слід користуватися такою шкалою оцінок:</w:t>
      </w:r>
    </w:p>
    <w:p w14:paraId="61C20795" w14:textId="77777777" w:rsidR="00B64D28" w:rsidRPr="00301DA9" w:rsidRDefault="00B64D28" w:rsidP="00B64D28">
      <w:pPr>
        <w:shd w:val="clear" w:color="auto" w:fill="FFFFFF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1276"/>
        <w:gridCol w:w="1276"/>
        <w:gridCol w:w="2268"/>
      </w:tblGrid>
      <w:tr w:rsidR="00B64D28" w:rsidRPr="00301DA9" w14:paraId="4B71A9AD" w14:textId="77777777" w:rsidTr="008D3FF7">
        <w:trPr>
          <w:trHeight w:val="259"/>
          <w:jc w:val="center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9BE83" w14:textId="77777777" w:rsidR="00B64D28" w:rsidRPr="00301DA9" w:rsidRDefault="00B64D28" w:rsidP="008D3FF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DA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Оцінки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E8A31" w14:textId="77777777" w:rsidR="00B64D28" w:rsidRPr="00301DA9" w:rsidRDefault="00B64D28" w:rsidP="008D3FF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DA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"2"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87B80" w14:textId="77777777" w:rsidR="00B64D28" w:rsidRPr="00301DA9" w:rsidRDefault="00B64D28" w:rsidP="008D3FF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DA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"3"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6C774" w14:textId="77777777" w:rsidR="00B64D28" w:rsidRPr="00301DA9" w:rsidRDefault="00B64D28" w:rsidP="008D3FF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DA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„4"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E5A7A" w14:textId="77777777" w:rsidR="00B64D28" w:rsidRPr="00301DA9" w:rsidRDefault="00B64D28" w:rsidP="008D3FF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DA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"5"</w:t>
            </w:r>
          </w:p>
        </w:tc>
      </w:tr>
      <w:tr w:rsidR="00B64D28" w:rsidRPr="00301DA9" w14:paraId="3EEFE290" w14:textId="77777777" w:rsidTr="008D3FF7">
        <w:trPr>
          <w:trHeight w:val="308"/>
          <w:jc w:val="center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723E4" w14:textId="77777777" w:rsidR="00B64D28" w:rsidRPr="00301DA9" w:rsidRDefault="00B64D28" w:rsidP="008D3FF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DA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Кількість балів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8DE0E" w14:textId="77777777" w:rsidR="00B64D28" w:rsidRPr="00301DA9" w:rsidRDefault="00B64D28" w:rsidP="008D3FF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DA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0-20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BC56F" w14:textId="77777777" w:rsidR="00B64D28" w:rsidRPr="00301DA9" w:rsidRDefault="00B64D28" w:rsidP="008D3FF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DA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21-35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20106" w14:textId="77777777" w:rsidR="00B64D28" w:rsidRPr="00301DA9" w:rsidRDefault="00B64D28" w:rsidP="008D3FF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DA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36-49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E2AE2" w14:textId="77777777" w:rsidR="00B64D28" w:rsidRPr="00301DA9" w:rsidRDefault="00B64D28" w:rsidP="008D3FF7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DA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50 і більше</w:t>
            </w:r>
          </w:p>
        </w:tc>
      </w:tr>
    </w:tbl>
    <w:p w14:paraId="55711B9E" w14:textId="77777777" w:rsidR="002107DF" w:rsidRDefault="002107DF"/>
    <w:sectPr w:rsidR="002107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28"/>
    <w:rsid w:val="002107DF"/>
    <w:rsid w:val="00A3342E"/>
    <w:rsid w:val="00B6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6FA4D5"/>
  <w15:chartTrackingRefBased/>
  <w15:docId w15:val="{00C8830B-C689-45B2-9BD2-050C1DDB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D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2021-09-11T16:56:00Z</dcterms:created>
  <dcterms:modified xsi:type="dcterms:W3CDTF">2021-09-11T16:59:00Z</dcterms:modified>
</cp:coreProperties>
</file>