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TrustMind AI</w:t>
      </w:r>
    </w:p>
    <w:p>
      <w:pPr>
        <w:jc w:val="center"/>
      </w:pPr>
      <w:r>
        <w:rPr>
          <w:rFonts w:ascii="Times New Roman" w:hAnsi="Times New Roman"/>
          <w:sz w:val="32"/>
        </w:rPr>
        <w:t>Exploratory Data Analysis of the SWMH Dataset</w:t>
        <w:br/>
        <w:t>and Its Relationship to the Research Question</w:t>
      </w:r>
    </w:p>
    <w:p/>
    <w:p>
      <w:pPr>
        <w:jc w:val="center"/>
      </w:pPr>
      <w:r>
        <w:rPr>
          <w:rFonts w:ascii="Times New Roman" w:hAnsi="Times New Roman"/>
          <w:sz w:val="24"/>
        </w:rPr>
        <w:t>MSc Artificial Intelligence Dissertation</w:t>
        <w:br/>
        <w:t>University of the West of England (UWE Bristol)</w:t>
      </w:r>
    </w:p>
    <w:p>
      <w:r>
        <w:br w:type="page"/>
      </w:r>
    </w:p>
    <w:p>
      <w:pPr>
        <w:pStyle w:val="Heading1"/>
        <w:spacing w:before="240" w:after="120"/>
        <w:jc w:val="center"/>
      </w:pPr>
      <w:r>
        <w:rPr>
          <w:rFonts w:ascii="Times New Roman" w:hAnsi="Times New Roman"/>
          <w:color w:val="000000"/>
        </w:rPr>
        <w:t>Abstract</w:t>
      </w:r>
    </w:p>
    <w:p>
      <w:pPr>
        <w:jc w:val="both"/>
      </w:pPr>
      <w:r>
        <w:rPr>
          <w:rFonts w:ascii="Times New Roman" w:hAnsi="Times New Roman"/>
          <w:b w:val="0"/>
          <w:i w:val="0"/>
          <w:sz w:val="24"/>
        </w:rPr>
        <w:t>This report presents a comprehensive exploratory data analysis (EDA) of the Reddit SuicideWatch and Mental Health Collection (SWMH) dataset, conducted as the foundational data chapter for the TrustMind AI dissertation. The analysis examines data quality, label distributions, text-length characteristics, qualitative patterns across five mental-health-related subreddit classes, and a documented preprocessing plan for downstream machine learning experiments. The dissertation research question asks: To what extent does Retrieval-Augmented Generation (RAG) improve the trustworthiness, reliability, and explainability of LLM-generated wellbeing assessments compared with standalone LLMs? This report clarifies that EDA does not directly prove an answer to that question; rather, it establishes the dataset conditions, evaluation requirements, and theoretical motivations that justify a controlled comparison between LLM-only and LLM+RAG systems in subsequent experimental chapters.</w:t>
      </w:r>
    </w:p>
    <w:p>
      <w:r>
        <w:br w:type="page"/>
      </w:r>
    </w:p>
    <w:p>
      <w:pPr>
        <w:pStyle w:val="Heading1"/>
        <w:spacing w:before="240" w:after="120"/>
        <w:jc w:val="center"/>
      </w:pPr>
      <w:r>
        <w:rPr>
          <w:rFonts w:ascii="Times New Roman" w:hAnsi="Times New Roman"/>
          <w:color w:val="000000"/>
        </w:rPr>
        <w:t>1. Introduction</w:t>
      </w:r>
    </w:p>
    <w:p>
      <w:pPr>
        <w:jc w:val="both"/>
      </w:pPr>
      <w:r>
        <w:rPr>
          <w:rFonts w:ascii="Times New Roman" w:hAnsi="Times New Roman"/>
          <w:b w:val="0"/>
          <w:i w:val="0"/>
          <w:sz w:val="24"/>
        </w:rPr>
        <w:t>TrustMind AI is a text-based wellbeing support platform designed to provide transparent, ethically grounded assessments rather than clinical diagnosis or therapy. A central research objective of this dissertation is to evaluate whether augmenting large language models (LLMs) with retrieval-augmented generation (RAG) improves the trustworthiness, reliability, and explainability of generated wellbeing assessments relative to standalone LLM approaches.</w:t>
      </w:r>
    </w:p>
    <w:p>
      <w:pPr>
        <w:jc w:val="both"/>
      </w:pPr>
      <w:r>
        <w:rPr>
          <w:rFonts w:ascii="Times New Roman" w:hAnsi="Times New Roman"/>
          <w:b w:val="0"/>
          <w:i w:val="0"/>
          <w:sz w:val="24"/>
        </w:rPr>
        <w:t>Before any model training or comparative evaluation can proceed, it is essential to understand the benchmark dataset in detail. This report documents the exploratory data analysis of the SWMH dataset—a widely used multi-class benchmark comprising Reddit posts labelled by source subreddit. The EDA was conducted in Jupyter Notebook 01_SWMH_EDA.ipynb and produced four publication-quality visualisations saved to the research/figures directory.</w:t>
      </w:r>
    </w:p>
    <w:p>
      <w:pPr>
        <w:pStyle w:val="Heading2"/>
        <w:spacing w:before="240" w:after="120"/>
      </w:pPr>
      <w:r>
        <w:rPr>
          <w:rFonts w:ascii="Times New Roman" w:hAnsi="Times New Roman"/>
          <w:color w:val="000000"/>
        </w:rPr>
        <w:t>1.1 Research Question</w:t>
      </w:r>
    </w:p>
    <w:p>
      <w:pPr>
        <w:jc w:val="center"/>
      </w:pPr>
      <w:r>
        <w:rPr>
          <w:rFonts w:ascii="Times New Roman" w:hAnsi="Times New Roman"/>
          <w:b w:val="0"/>
          <w:i/>
          <w:sz w:val="24"/>
        </w:rPr>
        <w:t>To what extent does Retrieval-Augmented Generation (RAG) improve the trustworthiness, reliability, and explainability of LLM-generated wellbeing assessments compared with standalone LLMs?</w:t>
      </w:r>
    </w:p>
    <w:p>
      <w:pPr>
        <w:pStyle w:val="Heading2"/>
        <w:spacing w:before="240" w:after="120"/>
      </w:pPr>
      <w:r>
        <w:rPr>
          <w:rFonts w:ascii="Times New Roman" w:hAnsi="Times New Roman"/>
          <w:color w:val="000000"/>
        </w:rPr>
        <w:t>1.2 Scope of This Report</w:t>
      </w:r>
    </w:p>
    <w:p>
      <w:pPr>
        <w:jc w:val="both"/>
      </w:pPr>
      <w:r>
        <w:rPr>
          <w:rFonts w:ascii="Times New Roman" w:hAnsi="Times New Roman"/>
          <w:b w:val="0"/>
          <w:i w:val="0"/>
          <w:sz w:val="24"/>
        </w:rPr>
        <w:t>This document describes the EDA methodology and findings in dissertation-ready prose. Section 2 introduces the dataset. Sections 3–6 present quantitative and qualitative findings. Section 7 outlines the preprocessing plan. Section 8 explains how EDA supports the research question—both directly (by enabling fair experimental design) and indirectly (by revealing dataset properties that motivate RAG). Section 9 states limitations and next steps.</w:t>
      </w:r>
    </w:p>
    <w:p>
      <w:pPr>
        <w:pStyle w:val="Heading1"/>
        <w:spacing w:before="240" w:after="120"/>
        <w:jc w:val="center"/>
      </w:pPr>
      <w:r>
        <w:rPr>
          <w:rFonts w:ascii="Times New Roman" w:hAnsi="Times New Roman"/>
          <w:color w:val="000000"/>
        </w:rPr>
        <w:t>2. Dataset Description</w:t>
      </w:r>
    </w:p>
    <w:p>
      <w:pPr>
        <w:jc w:val="both"/>
      </w:pPr>
      <w:r>
        <w:rPr>
          <w:rFonts w:ascii="Times New Roman" w:hAnsi="Times New Roman"/>
          <w:b w:val="0"/>
          <w:i w:val="0"/>
          <w:sz w:val="24"/>
        </w:rPr>
        <w:t>The Reddit SuicideWatch and Mental Health Collection (SWMH) contains English-language Reddit posts drawn from five subreddits. Each post is labelled according to its source community, providing a multi-class text classification benchmark for mental-health-related natural language processing (NLP).</w:t>
      </w:r>
    </w:p>
    <w:p>
      <w:pPr>
        <w:pStyle w:val="Heading2"/>
        <w:spacing w:before="240" w:after="120"/>
      </w:pPr>
      <w:r>
        <w:rPr>
          <w:rFonts w:ascii="Times New Roman" w:hAnsi="Times New Roman"/>
          <w:color w:val="000000"/>
        </w:rPr>
        <w:t>2.1 Data Schema</w:t>
      </w:r>
    </w:p>
    <w:p>
      <w:pPr>
        <w:jc w:val="both"/>
      </w:pPr>
      <w:r>
        <w:rPr>
          <w:rFonts w:ascii="Times New Roman" w:hAnsi="Times New Roman"/>
          <w:b w:val="0"/>
          <w:i w:val="0"/>
          <w:sz w:val="24"/>
        </w:rPr>
        <w:t>Each CSV file contains two columns:</w:t>
      </w:r>
    </w:p>
    <w:p>
      <w:pPr>
        <w:pStyle w:val="ListBullet"/>
        <w:spacing w:line="360" w:lineRule="auto"/>
      </w:pPr>
      <w:r>
        <w:rPr>
          <w:rFonts w:ascii="Times New Roman" w:hAnsi="Times New Roman"/>
          <w:sz w:val="24"/>
        </w:rPr>
        <w:t>text — the raw Reddit post body (informal, user-generated language)</w:t>
      </w:r>
    </w:p>
    <w:p>
      <w:pPr>
        <w:pStyle w:val="ListBullet"/>
        <w:spacing w:line="360" w:lineRule="auto"/>
      </w:pPr>
      <w:r>
        <w:rPr>
          <w:rFonts w:ascii="Times New Roman" w:hAnsi="Times New Roman"/>
          <w:sz w:val="24"/>
        </w:rPr>
        <w:t>label — the source subreddit name, used as a proxy class label</w:t>
      </w:r>
    </w:p>
    <w:p>
      <w:pPr>
        <w:pStyle w:val="Heading2"/>
        <w:spacing w:before="240" w:after="120"/>
      </w:pPr>
      <w:r>
        <w:rPr>
          <w:rFonts w:ascii="Times New Roman" w:hAnsi="Times New Roman"/>
          <w:color w:val="000000"/>
        </w:rPr>
        <w:t>2.2 Class Labels</w:t>
      </w:r>
    </w:p>
    <w:p>
      <w:pPr>
        <w:jc w:val="both"/>
      </w:pPr>
      <w:r>
        <w:rPr>
          <w:rFonts w:ascii="Times New Roman" w:hAnsi="Times New Roman"/>
          <w:b w:val="0"/>
          <w:i w:val="0"/>
          <w:sz w:val="24"/>
        </w:rPr>
        <w:t>Five distinct classes are represented:</w:t>
      </w:r>
    </w:p>
    <w:p>
      <w:pPr>
        <w:pStyle w:val="ListBullet"/>
        <w:spacing w:line="360" w:lineRule="auto"/>
      </w:pPr>
      <w:r>
        <w:rPr>
          <w:rFonts w:ascii="Times New Roman" w:hAnsi="Times New Roman"/>
          <w:sz w:val="24"/>
        </w:rPr>
        <w:t>self.depression</w:t>
      </w:r>
    </w:p>
    <w:p>
      <w:pPr>
        <w:pStyle w:val="ListBullet"/>
        <w:spacing w:line="360" w:lineRule="auto"/>
      </w:pPr>
      <w:r>
        <w:rPr>
          <w:rFonts w:ascii="Times New Roman" w:hAnsi="Times New Roman"/>
          <w:sz w:val="24"/>
        </w:rPr>
        <w:t>self.SuicideWatch</w:t>
      </w:r>
    </w:p>
    <w:p>
      <w:pPr>
        <w:pStyle w:val="ListBullet"/>
        <w:spacing w:line="360" w:lineRule="auto"/>
      </w:pPr>
      <w:r>
        <w:rPr>
          <w:rFonts w:ascii="Times New Roman" w:hAnsi="Times New Roman"/>
          <w:sz w:val="24"/>
        </w:rPr>
        <w:t>self.Anxiety</w:t>
      </w:r>
    </w:p>
    <w:p>
      <w:pPr>
        <w:pStyle w:val="ListBullet"/>
        <w:spacing w:line="360" w:lineRule="auto"/>
      </w:pPr>
      <w:r>
        <w:rPr>
          <w:rFonts w:ascii="Times New Roman" w:hAnsi="Times New Roman"/>
          <w:sz w:val="24"/>
        </w:rPr>
        <w:t>self.offmychest</w:t>
      </w:r>
    </w:p>
    <w:p>
      <w:pPr>
        <w:pStyle w:val="ListBullet"/>
        <w:spacing w:line="360" w:lineRule="auto"/>
      </w:pPr>
      <w:r>
        <w:rPr>
          <w:rFonts w:ascii="Times New Roman" w:hAnsi="Times New Roman"/>
          <w:sz w:val="24"/>
        </w:rPr>
        <w:t>self.bipolar</w:t>
      </w:r>
    </w:p>
    <w:p>
      <w:pPr>
        <w:pStyle w:val="Heading2"/>
        <w:spacing w:before="240" w:after="120"/>
      </w:pPr>
      <w:r>
        <w:rPr>
          <w:rFonts w:ascii="Times New Roman" w:hAnsi="Times New Roman"/>
          <w:color w:val="000000"/>
        </w:rPr>
        <w:t>2.3 Data Splits</w:t>
      </w:r>
    </w:p>
    <w:p>
      <w:pPr>
        <w:jc w:val="both"/>
      </w:pPr>
      <w:r>
        <w:rPr>
          <w:rFonts w:ascii="Times New Roman" w:hAnsi="Times New Roman"/>
          <w:b w:val="0"/>
          <w:i w:val="0"/>
          <w:sz w:val="24"/>
        </w:rPr>
        <w:t>The dataset is pre-partitioned into training, validation, and test splits, supporting reproducible experimental comparison. Table 1 summarises split sizes observed in the local TrustMind AI copy.</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2"/>
              </w:rPr>
              <w:t>Split</w:t>
            </w:r>
          </w:p>
        </w:tc>
        <w:tc>
          <w:tcPr>
            <w:tcW w:type="dxa" w:w="3120"/>
          </w:tcPr>
          <w:p>
            <w:pPr>
              <w:jc w:val="center"/>
            </w:pPr>
            <w:r>
              <w:rPr>
                <w:rFonts w:ascii="Times New Roman" w:hAnsi="Times New Roman"/>
                <w:b/>
                <w:sz w:val="22"/>
              </w:rPr>
              <w:t>Posts</w:t>
            </w:r>
          </w:p>
        </w:tc>
        <w:tc>
          <w:tcPr>
            <w:tcW w:type="dxa" w:w="3120"/>
          </w:tcPr>
          <w:p>
            <w:pPr>
              <w:jc w:val="center"/>
            </w:pPr>
            <w:r>
              <w:rPr>
                <w:rFonts w:ascii="Times New Roman" w:hAnsi="Times New Roman"/>
                <w:b/>
                <w:sz w:val="22"/>
              </w:rPr>
              <w:t>Percentage of Total</w:t>
            </w:r>
          </w:p>
        </w:tc>
      </w:tr>
      <w:tr>
        <w:tc>
          <w:tcPr>
            <w:tcW w:type="dxa" w:w="3120"/>
          </w:tcPr>
          <w:p>
            <w:pPr>
              <w:jc w:val="left"/>
            </w:pPr>
            <w:r>
              <w:rPr>
                <w:rFonts w:ascii="Times New Roman" w:hAnsi="Times New Roman"/>
                <w:sz w:val="22"/>
              </w:rPr>
              <w:t>Training</w:t>
            </w:r>
          </w:p>
        </w:tc>
        <w:tc>
          <w:tcPr>
            <w:tcW w:type="dxa" w:w="3120"/>
          </w:tcPr>
          <w:p>
            <w:pPr>
              <w:jc w:val="center"/>
            </w:pPr>
            <w:r>
              <w:rPr>
                <w:rFonts w:ascii="Times New Roman" w:hAnsi="Times New Roman"/>
                <w:sz w:val="22"/>
              </w:rPr>
              <w:t>34,823</w:t>
            </w:r>
          </w:p>
        </w:tc>
        <w:tc>
          <w:tcPr>
            <w:tcW w:type="dxa" w:w="3120"/>
          </w:tcPr>
          <w:p>
            <w:pPr>
              <w:jc w:val="center"/>
            </w:pPr>
            <w:r>
              <w:rPr>
                <w:rFonts w:ascii="Times New Roman" w:hAnsi="Times New Roman"/>
                <w:sz w:val="22"/>
              </w:rPr>
              <w:t>64.0%</w:t>
            </w:r>
          </w:p>
        </w:tc>
      </w:tr>
      <w:tr>
        <w:tc>
          <w:tcPr>
            <w:tcW w:type="dxa" w:w="3120"/>
          </w:tcPr>
          <w:p>
            <w:pPr>
              <w:jc w:val="left"/>
            </w:pPr>
            <w:r>
              <w:rPr>
                <w:rFonts w:ascii="Times New Roman" w:hAnsi="Times New Roman"/>
                <w:sz w:val="22"/>
              </w:rPr>
              <w:t>Validation</w:t>
            </w:r>
          </w:p>
        </w:tc>
        <w:tc>
          <w:tcPr>
            <w:tcW w:type="dxa" w:w="3120"/>
          </w:tcPr>
          <w:p>
            <w:pPr>
              <w:jc w:val="center"/>
            </w:pPr>
            <w:r>
              <w:rPr>
                <w:rFonts w:ascii="Times New Roman" w:hAnsi="Times New Roman"/>
                <w:sz w:val="22"/>
              </w:rPr>
              <w:t>8,706</w:t>
            </w:r>
          </w:p>
        </w:tc>
        <w:tc>
          <w:tcPr>
            <w:tcW w:type="dxa" w:w="3120"/>
          </w:tcPr>
          <w:p>
            <w:pPr>
              <w:jc w:val="center"/>
            </w:pPr>
            <w:r>
              <w:rPr>
                <w:rFonts w:ascii="Times New Roman" w:hAnsi="Times New Roman"/>
                <w:sz w:val="22"/>
              </w:rPr>
              <w:t>16.0%</w:t>
            </w:r>
          </w:p>
        </w:tc>
      </w:tr>
      <w:tr>
        <w:tc>
          <w:tcPr>
            <w:tcW w:type="dxa" w:w="3120"/>
          </w:tcPr>
          <w:p>
            <w:pPr>
              <w:jc w:val="left"/>
            </w:pPr>
            <w:r>
              <w:rPr>
                <w:rFonts w:ascii="Times New Roman" w:hAnsi="Times New Roman"/>
                <w:sz w:val="22"/>
              </w:rPr>
              <w:t>Test</w:t>
            </w:r>
          </w:p>
        </w:tc>
        <w:tc>
          <w:tcPr>
            <w:tcW w:type="dxa" w:w="3120"/>
          </w:tcPr>
          <w:p>
            <w:pPr>
              <w:jc w:val="center"/>
            </w:pPr>
            <w:r>
              <w:rPr>
                <w:rFonts w:ascii="Times New Roman" w:hAnsi="Times New Roman"/>
                <w:sz w:val="22"/>
              </w:rPr>
              <w:t>10,883</w:t>
            </w:r>
          </w:p>
        </w:tc>
        <w:tc>
          <w:tcPr>
            <w:tcW w:type="dxa" w:w="3120"/>
          </w:tcPr>
          <w:p>
            <w:pPr>
              <w:jc w:val="center"/>
            </w:pPr>
            <w:r>
              <w:rPr>
                <w:rFonts w:ascii="Times New Roman" w:hAnsi="Times New Roman"/>
                <w:sz w:val="22"/>
              </w:rPr>
              <w:t>20.0%</w:t>
            </w:r>
          </w:p>
        </w:tc>
      </w:tr>
      <w:tr>
        <w:tc>
          <w:tcPr>
            <w:tcW w:type="dxa" w:w="3120"/>
          </w:tcPr>
          <w:p>
            <w:pPr>
              <w:jc w:val="left"/>
            </w:pPr>
            <w:r>
              <w:rPr>
                <w:rFonts w:ascii="Times New Roman" w:hAnsi="Times New Roman"/>
                <w:sz w:val="22"/>
              </w:rPr>
              <w:t>Total</w:t>
            </w:r>
          </w:p>
        </w:tc>
        <w:tc>
          <w:tcPr>
            <w:tcW w:type="dxa" w:w="3120"/>
          </w:tcPr>
          <w:p>
            <w:pPr>
              <w:jc w:val="center"/>
            </w:pPr>
            <w:r>
              <w:rPr>
                <w:rFonts w:ascii="Times New Roman" w:hAnsi="Times New Roman"/>
                <w:sz w:val="22"/>
              </w:rPr>
              <w:t>54,412</w:t>
            </w:r>
          </w:p>
        </w:tc>
        <w:tc>
          <w:tcPr>
            <w:tcW w:type="dxa" w:w="3120"/>
          </w:tcPr>
          <w:p>
            <w:pPr>
              <w:jc w:val="center"/>
            </w:pPr>
            <w:r>
              <w:rPr>
                <w:rFonts w:ascii="Times New Roman" w:hAnsi="Times New Roman"/>
                <w:sz w:val="22"/>
              </w:rPr>
              <w:t>100%</w:t>
            </w:r>
          </w:p>
        </w:tc>
      </w:tr>
    </w:tbl>
    <w:p/>
    <w:p>
      <w:pPr>
        <w:jc w:val="center"/>
      </w:pPr>
      <w:r>
        <w:rPr>
          <w:rFonts w:ascii="Times New Roman" w:hAnsi="Times New Roman"/>
          <w:b w:val="0"/>
          <w:i/>
          <w:sz w:val="24"/>
        </w:rPr>
        <w:t>Table 1: SWMH dataset split sizes.</w:t>
      </w:r>
    </w:p>
    <w:p>
      <w:pPr>
        <w:pStyle w:val="Heading1"/>
        <w:spacing w:before="240" w:after="120"/>
        <w:jc w:val="center"/>
      </w:pPr>
      <w:r>
        <w:rPr>
          <w:rFonts w:ascii="Times New Roman" w:hAnsi="Times New Roman"/>
          <w:color w:val="000000"/>
        </w:rPr>
        <w:t>3. Data Quality Assessment</w:t>
      </w:r>
    </w:p>
    <w:p>
      <w:pPr>
        <w:jc w:val="both"/>
      </w:pPr>
      <w:r>
        <w:rPr>
          <w:rFonts w:ascii="Times New Roman" w:hAnsi="Times New Roman"/>
          <w:b w:val="0"/>
          <w:i w:val="0"/>
          <w:sz w:val="24"/>
        </w:rPr>
        <w:t>Prior to modelling, the notebook assessed missing values, duplicate rows, null labels, null text fields, empty strings, and whitespace-only posts. Table 2 summarises the results across all splits.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22"/>
              </w:rPr>
              <w:t>Split</w:t>
            </w:r>
          </w:p>
        </w:tc>
        <w:tc>
          <w:tcPr>
            <w:tcW w:type="dxa" w:w="1560"/>
          </w:tcPr>
          <w:p>
            <w:pPr>
              <w:jc w:val="center"/>
            </w:pPr>
            <w:r>
              <w:rPr>
                <w:rFonts w:ascii="Times New Roman" w:hAnsi="Times New Roman"/>
                <w:b/>
                <w:sz w:val="22"/>
              </w:rPr>
              <w:t>Rows</w:t>
            </w:r>
          </w:p>
        </w:tc>
        <w:tc>
          <w:tcPr>
            <w:tcW w:type="dxa" w:w="1560"/>
          </w:tcPr>
          <w:p>
            <w:pPr>
              <w:jc w:val="center"/>
            </w:pPr>
            <w:r>
              <w:rPr>
                <w:rFonts w:ascii="Times New Roman" w:hAnsi="Times New Roman"/>
                <w:b/>
                <w:sz w:val="22"/>
              </w:rPr>
              <w:t>Missing Text</w:t>
            </w:r>
          </w:p>
        </w:tc>
        <w:tc>
          <w:tcPr>
            <w:tcW w:type="dxa" w:w="1560"/>
          </w:tcPr>
          <w:p>
            <w:pPr>
              <w:jc w:val="center"/>
            </w:pPr>
            <w:r>
              <w:rPr>
                <w:rFonts w:ascii="Times New Roman" w:hAnsi="Times New Roman"/>
                <w:b/>
                <w:sz w:val="22"/>
              </w:rPr>
              <w:t>Missing Label</w:t>
            </w:r>
          </w:p>
        </w:tc>
        <w:tc>
          <w:tcPr>
            <w:tcW w:type="dxa" w:w="1560"/>
          </w:tcPr>
          <w:p>
            <w:pPr>
              <w:jc w:val="center"/>
            </w:pPr>
            <w:r>
              <w:rPr>
                <w:rFonts w:ascii="Times New Roman" w:hAnsi="Times New Roman"/>
                <w:b/>
                <w:sz w:val="22"/>
              </w:rPr>
              <w:t>Duplicate Rows</w:t>
            </w:r>
          </w:p>
        </w:tc>
        <w:tc>
          <w:tcPr>
            <w:tcW w:type="dxa" w:w="1560"/>
          </w:tcPr>
          <w:p>
            <w:pPr>
              <w:jc w:val="center"/>
            </w:pPr>
            <w:r>
              <w:rPr>
                <w:rFonts w:ascii="Times New Roman" w:hAnsi="Times New Roman"/>
                <w:b/>
                <w:sz w:val="22"/>
              </w:rPr>
              <w:t>Null/Empty Text</w:t>
            </w:r>
          </w:p>
        </w:tc>
      </w:tr>
      <w:tr>
        <w:tc>
          <w:tcPr>
            <w:tcW w:type="dxa" w:w="1560"/>
          </w:tcPr>
          <w:p>
            <w:pPr>
              <w:jc w:val="left"/>
            </w:pPr>
            <w:r>
              <w:rPr>
                <w:rFonts w:ascii="Times New Roman" w:hAnsi="Times New Roman"/>
                <w:sz w:val="22"/>
              </w:rPr>
              <w:t>Train</w:t>
            </w:r>
          </w:p>
        </w:tc>
        <w:tc>
          <w:tcPr>
            <w:tcW w:type="dxa" w:w="1560"/>
          </w:tcPr>
          <w:p>
            <w:pPr>
              <w:jc w:val="center"/>
            </w:pPr>
            <w:r>
              <w:rPr>
                <w:rFonts w:ascii="Times New Roman" w:hAnsi="Times New Roman"/>
                <w:sz w:val="22"/>
              </w:rPr>
              <w:t>34,823</w:t>
            </w:r>
          </w:p>
        </w:tc>
        <w:tc>
          <w:tcPr>
            <w:tcW w:type="dxa" w:w="1560"/>
          </w:tcPr>
          <w:p>
            <w:pPr>
              <w:jc w:val="center"/>
            </w:pPr>
            <w:r>
              <w:rPr>
                <w:rFonts w:ascii="Times New Roman" w:hAnsi="Times New Roman"/>
                <w:sz w:val="22"/>
              </w:rPr>
              <w:t>0</w:t>
            </w:r>
          </w:p>
        </w:tc>
        <w:tc>
          <w:tcPr>
            <w:tcW w:type="dxa" w:w="1560"/>
          </w:tcPr>
          <w:p>
            <w:pPr>
              <w:jc w:val="center"/>
            </w:pPr>
            <w:r>
              <w:rPr>
                <w:rFonts w:ascii="Times New Roman" w:hAnsi="Times New Roman"/>
                <w:sz w:val="22"/>
              </w:rPr>
              <w:t>0</w:t>
            </w:r>
          </w:p>
        </w:tc>
        <w:tc>
          <w:tcPr>
            <w:tcW w:type="dxa" w:w="1560"/>
          </w:tcPr>
          <w:p>
            <w:pPr>
              <w:jc w:val="center"/>
            </w:pPr>
            <w:r>
              <w:rPr>
                <w:rFonts w:ascii="Times New Roman" w:hAnsi="Times New Roman"/>
                <w:sz w:val="22"/>
              </w:rPr>
              <w:t>22</w:t>
            </w:r>
          </w:p>
        </w:tc>
        <w:tc>
          <w:tcPr>
            <w:tcW w:type="dxa" w:w="1560"/>
          </w:tcPr>
          <w:p>
            <w:pPr>
              <w:jc w:val="center"/>
            </w:pPr>
            <w:r>
              <w:rPr>
                <w:rFonts w:ascii="Times New Roman" w:hAnsi="Times New Roman"/>
                <w:sz w:val="22"/>
              </w:rPr>
              <w:t>0</w:t>
            </w:r>
          </w:p>
        </w:tc>
      </w:tr>
      <w:tr>
        <w:tc>
          <w:tcPr>
            <w:tcW w:type="dxa" w:w="1560"/>
          </w:tcPr>
          <w:p>
            <w:pPr>
              <w:jc w:val="left"/>
            </w:pPr>
            <w:r>
              <w:rPr>
                <w:rFonts w:ascii="Times New Roman" w:hAnsi="Times New Roman"/>
                <w:sz w:val="22"/>
              </w:rPr>
              <w:t>Validation</w:t>
            </w:r>
          </w:p>
        </w:tc>
        <w:tc>
          <w:tcPr>
            <w:tcW w:type="dxa" w:w="1560"/>
          </w:tcPr>
          <w:p>
            <w:pPr>
              <w:jc w:val="center"/>
            </w:pPr>
            <w:r>
              <w:rPr>
                <w:rFonts w:ascii="Times New Roman" w:hAnsi="Times New Roman"/>
                <w:sz w:val="22"/>
              </w:rPr>
              <w:t>8,706</w:t>
            </w:r>
          </w:p>
        </w:tc>
        <w:tc>
          <w:tcPr>
            <w:tcW w:type="dxa" w:w="1560"/>
          </w:tcPr>
          <w:p>
            <w:pPr>
              <w:jc w:val="center"/>
            </w:pPr>
            <w:r>
              <w:rPr>
                <w:rFonts w:ascii="Times New Roman" w:hAnsi="Times New Roman"/>
                <w:sz w:val="22"/>
              </w:rPr>
              <w:t>0</w:t>
            </w:r>
          </w:p>
        </w:tc>
        <w:tc>
          <w:tcPr>
            <w:tcW w:type="dxa" w:w="1560"/>
          </w:tcPr>
          <w:p>
            <w:pPr>
              <w:jc w:val="center"/>
            </w:pPr>
            <w:r>
              <w:rPr>
                <w:rFonts w:ascii="Times New Roman" w:hAnsi="Times New Roman"/>
                <w:sz w:val="22"/>
              </w:rPr>
              <w:t>0</w:t>
            </w:r>
          </w:p>
        </w:tc>
        <w:tc>
          <w:tcPr>
            <w:tcW w:type="dxa" w:w="1560"/>
          </w:tcPr>
          <w:p>
            <w:pPr>
              <w:jc w:val="center"/>
            </w:pPr>
            <w:r>
              <w:rPr>
                <w:rFonts w:ascii="Times New Roman" w:hAnsi="Times New Roman"/>
                <w:sz w:val="22"/>
              </w:rPr>
              <w:t>2</w:t>
            </w:r>
          </w:p>
        </w:tc>
        <w:tc>
          <w:tcPr>
            <w:tcW w:type="dxa" w:w="1560"/>
          </w:tcPr>
          <w:p>
            <w:pPr>
              <w:jc w:val="center"/>
            </w:pPr>
            <w:r>
              <w:rPr>
                <w:rFonts w:ascii="Times New Roman" w:hAnsi="Times New Roman"/>
                <w:sz w:val="22"/>
              </w:rPr>
              <w:t>0</w:t>
            </w:r>
          </w:p>
        </w:tc>
      </w:tr>
      <w:tr>
        <w:tc>
          <w:tcPr>
            <w:tcW w:type="dxa" w:w="1560"/>
          </w:tcPr>
          <w:p>
            <w:pPr>
              <w:jc w:val="left"/>
            </w:pPr>
            <w:r>
              <w:rPr>
                <w:rFonts w:ascii="Times New Roman" w:hAnsi="Times New Roman"/>
                <w:sz w:val="22"/>
              </w:rPr>
              <w:t>Test</w:t>
            </w:r>
          </w:p>
        </w:tc>
        <w:tc>
          <w:tcPr>
            <w:tcW w:type="dxa" w:w="1560"/>
          </w:tcPr>
          <w:p>
            <w:pPr>
              <w:jc w:val="center"/>
            </w:pPr>
            <w:r>
              <w:rPr>
                <w:rFonts w:ascii="Times New Roman" w:hAnsi="Times New Roman"/>
                <w:sz w:val="22"/>
              </w:rPr>
              <w:t>10,883</w:t>
            </w:r>
          </w:p>
        </w:tc>
        <w:tc>
          <w:tcPr>
            <w:tcW w:type="dxa" w:w="1560"/>
          </w:tcPr>
          <w:p>
            <w:pPr>
              <w:jc w:val="center"/>
            </w:pPr>
            <w:r>
              <w:rPr>
                <w:rFonts w:ascii="Times New Roman" w:hAnsi="Times New Roman"/>
                <w:sz w:val="22"/>
              </w:rPr>
              <w:t>0</w:t>
            </w:r>
          </w:p>
        </w:tc>
        <w:tc>
          <w:tcPr>
            <w:tcW w:type="dxa" w:w="1560"/>
          </w:tcPr>
          <w:p>
            <w:pPr>
              <w:jc w:val="center"/>
            </w:pPr>
            <w:r>
              <w:rPr>
                <w:rFonts w:ascii="Times New Roman" w:hAnsi="Times New Roman"/>
                <w:sz w:val="22"/>
              </w:rPr>
              <w:t>0</w:t>
            </w:r>
          </w:p>
        </w:tc>
        <w:tc>
          <w:tcPr>
            <w:tcW w:type="dxa" w:w="1560"/>
          </w:tcPr>
          <w:p>
            <w:pPr>
              <w:jc w:val="center"/>
            </w:pPr>
            <w:r>
              <w:rPr>
                <w:rFonts w:ascii="Times New Roman" w:hAnsi="Times New Roman"/>
                <w:sz w:val="22"/>
              </w:rPr>
              <w:t>1</w:t>
            </w:r>
          </w:p>
        </w:tc>
        <w:tc>
          <w:tcPr>
            <w:tcW w:type="dxa" w:w="1560"/>
          </w:tcPr>
          <w:p>
            <w:pPr>
              <w:jc w:val="center"/>
            </w:pPr>
            <w:r>
              <w:rPr>
                <w:rFonts w:ascii="Times New Roman" w:hAnsi="Times New Roman"/>
                <w:sz w:val="22"/>
              </w:rPr>
              <w:t>0</w:t>
            </w:r>
          </w:p>
        </w:tc>
      </w:tr>
    </w:tbl>
    <w:p/>
    <w:p>
      <w:pPr>
        <w:jc w:val="center"/>
      </w:pPr>
      <w:r>
        <w:rPr>
          <w:rFonts w:ascii="Times New Roman" w:hAnsi="Times New Roman"/>
          <w:b w:val="0"/>
          <w:i/>
          <w:sz w:val="24"/>
        </w:rPr>
        <w:t>Table 2: Data quality checks by split.</w:t>
      </w:r>
    </w:p>
    <w:p>
      <w:pPr>
        <w:jc w:val="both"/>
      </w:pPr>
      <w:r>
        <w:rPr>
          <w:rFonts w:ascii="Times New Roman" w:hAnsi="Times New Roman"/>
          <w:b w:val="0"/>
          <w:i w:val="0"/>
          <w:sz w:val="24"/>
        </w:rPr>
        <w:t>Key findings:</w:t>
      </w:r>
    </w:p>
    <w:p>
      <w:pPr>
        <w:pStyle w:val="ListBullet"/>
        <w:spacing w:line="360" w:lineRule="auto"/>
      </w:pPr>
      <w:r>
        <w:rPr>
          <w:rFonts w:ascii="Times New Roman" w:hAnsi="Times New Roman"/>
          <w:sz w:val="24"/>
        </w:rPr>
        <w:t>No missing text or label values were detected in any split.</w:t>
      </w:r>
    </w:p>
    <w:p>
      <w:pPr>
        <w:pStyle w:val="ListBullet"/>
        <w:spacing w:line="360" w:lineRule="auto"/>
      </w:pPr>
      <w:r>
        <w:rPr>
          <w:rFonts w:ascii="Times New Roman" w:hAnsi="Times New Roman"/>
          <w:sz w:val="24"/>
        </w:rPr>
        <w:t>No null, empty, or whitespace-only posts were found.</w:t>
      </w:r>
    </w:p>
    <w:p>
      <w:pPr>
        <w:pStyle w:val="ListBullet"/>
        <w:spacing w:line="360" w:lineRule="auto"/>
      </w:pPr>
      <w:r>
        <w:rPr>
          <w:rFonts w:ascii="Times New Roman" w:hAnsi="Times New Roman"/>
          <w:sz w:val="24"/>
        </w:rPr>
        <w:t>A total of 25 exact duplicate rows were identified (22 train, 2 validation, 1 test), representing less than 0.05% of the corpus.</w:t>
      </w:r>
    </w:p>
    <w:p>
      <w:pPr>
        <w:pStyle w:val="ListBullet"/>
        <w:spacing w:line="360" w:lineRule="auto"/>
      </w:pPr>
      <w:r>
        <w:rPr>
          <w:rFonts w:ascii="Times New Roman" w:hAnsi="Times New Roman"/>
          <w:sz w:val="24"/>
        </w:rPr>
        <w:t>HTML entities (e.g., &amp;amp;nbsp;) were observed in raw text and will require decoding during preprocessing.</w:t>
      </w:r>
    </w:p>
    <w:p>
      <w:pPr>
        <w:jc w:val="both"/>
      </w:pPr>
      <w:r>
        <w:rPr>
          <w:rFonts w:ascii="Times New Roman" w:hAnsi="Times New Roman"/>
          <w:b w:val="0"/>
          <w:i w:val="0"/>
          <w:sz w:val="24"/>
        </w:rPr>
        <w:t>Overall, the dataset is exceptionally clean at the structural level. Minor duplicate removal and HTML entity decoding are recommended before tokenisation, but no fundamental data integrity issues were found that would invalidate downstream experiments.</w:t>
      </w:r>
    </w:p>
    <w:p>
      <w:pPr>
        <w:pStyle w:val="Heading1"/>
        <w:spacing w:before="240" w:after="120"/>
        <w:jc w:val="center"/>
      </w:pPr>
      <w:r>
        <w:rPr>
          <w:rFonts w:ascii="Times New Roman" w:hAnsi="Times New Roman"/>
          <w:color w:val="000000"/>
        </w:rPr>
        <w:t>4. Label Distribution and Class Imbalance</w:t>
      </w:r>
    </w:p>
    <w:p>
      <w:pPr>
        <w:jc w:val="both"/>
      </w:pPr>
      <w:r>
        <w:rPr>
          <w:rFonts w:ascii="Times New Roman" w:hAnsi="Times New Roman"/>
          <w:b w:val="0"/>
          <w:i w:val="0"/>
          <w:sz w:val="24"/>
        </w:rPr>
        <w:t>Class frequencies were examined in each split to assess imbalance, which affects metric selection (macro-F1 versus weighted-F1) and training strategies (class weighting, stratified sampling). Proportions were preserved consistently across train, validation, and test splits, indicating stratified partitioning.</w:t>
      </w:r>
    </w:p>
    <w:p>
      <w:pPr>
        <w:pStyle w:val="Heading2"/>
        <w:spacing w:before="240" w:after="120"/>
      </w:pPr>
      <w:r>
        <w:rPr>
          <w:rFonts w:ascii="Times New Roman" w:hAnsi="Times New Roman"/>
          <w:color w:val="000000"/>
        </w:rPr>
        <w:t>4.1 Combined Label Distribution</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2"/>
              </w:rPr>
              <w:t>Class</w:t>
            </w:r>
          </w:p>
        </w:tc>
        <w:tc>
          <w:tcPr>
            <w:tcW w:type="dxa" w:w="3120"/>
          </w:tcPr>
          <w:p>
            <w:pPr>
              <w:jc w:val="center"/>
            </w:pPr>
            <w:r>
              <w:rPr>
                <w:rFonts w:ascii="Times New Roman" w:hAnsi="Times New Roman"/>
                <w:b/>
                <w:sz w:val="22"/>
              </w:rPr>
              <w:t>Count</w:t>
            </w:r>
          </w:p>
        </w:tc>
        <w:tc>
          <w:tcPr>
            <w:tcW w:type="dxa" w:w="3120"/>
          </w:tcPr>
          <w:p>
            <w:pPr>
              <w:jc w:val="center"/>
            </w:pPr>
            <w:r>
              <w:rPr>
                <w:rFonts w:ascii="Times New Roman" w:hAnsi="Times New Roman"/>
                <w:b/>
                <w:sz w:val="22"/>
              </w:rPr>
              <w:t>Percentage</w:t>
            </w:r>
          </w:p>
        </w:tc>
      </w:tr>
      <w:tr>
        <w:tc>
          <w:tcPr>
            <w:tcW w:type="dxa" w:w="3120"/>
          </w:tcPr>
          <w:p>
            <w:pPr>
              <w:jc w:val="left"/>
            </w:pPr>
            <w:r>
              <w:rPr>
                <w:rFonts w:ascii="Times New Roman" w:hAnsi="Times New Roman"/>
                <w:sz w:val="22"/>
              </w:rPr>
              <w:t>depression</w:t>
            </w:r>
          </w:p>
        </w:tc>
        <w:tc>
          <w:tcPr>
            <w:tcW w:type="dxa" w:w="3120"/>
          </w:tcPr>
          <w:p>
            <w:pPr>
              <w:jc w:val="center"/>
            </w:pPr>
            <w:r>
              <w:rPr>
                <w:rFonts w:ascii="Times New Roman" w:hAnsi="Times New Roman"/>
                <w:sz w:val="22"/>
              </w:rPr>
              <w:t>18,746</w:t>
            </w:r>
          </w:p>
        </w:tc>
        <w:tc>
          <w:tcPr>
            <w:tcW w:type="dxa" w:w="3120"/>
          </w:tcPr>
          <w:p>
            <w:pPr>
              <w:jc w:val="center"/>
            </w:pPr>
            <w:r>
              <w:rPr>
                <w:rFonts w:ascii="Times New Roman" w:hAnsi="Times New Roman"/>
                <w:sz w:val="22"/>
              </w:rPr>
              <w:t>34.5%</w:t>
            </w:r>
          </w:p>
        </w:tc>
      </w:tr>
      <w:tr>
        <w:tc>
          <w:tcPr>
            <w:tcW w:type="dxa" w:w="3120"/>
          </w:tcPr>
          <w:p>
            <w:pPr>
              <w:jc w:val="left"/>
            </w:pPr>
            <w:r>
              <w:rPr>
                <w:rFonts w:ascii="Times New Roman" w:hAnsi="Times New Roman"/>
                <w:sz w:val="22"/>
              </w:rPr>
              <w:t>SuicideWatch</w:t>
            </w:r>
          </w:p>
        </w:tc>
        <w:tc>
          <w:tcPr>
            <w:tcW w:type="dxa" w:w="3120"/>
          </w:tcPr>
          <w:p>
            <w:pPr>
              <w:jc w:val="center"/>
            </w:pPr>
            <w:r>
              <w:rPr>
                <w:rFonts w:ascii="Times New Roman" w:hAnsi="Times New Roman"/>
                <w:sz w:val="22"/>
              </w:rPr>
              <w:t>10,182</w:t>
            </w:r>
          </w:p>
        </w:tc>
        <w:tc>
          <w:tcPr>
            <w:tcW w:type="dxa" w:w="3120"/>
          </w:tcPr>
          <w:p>
            <w:pPr>
              <w:jc w:val="center"/>
            </w:pPr>
            <w:r>
              <w:rPr>
                <w:rFonts w:ascii="Times New Roman" w:hAnsi="Times New Roman"/>
                <w:sz w:val="22"/>
              </w:rPr>
              <w:t>18.7%</w:t>
            </w:r>
          </w:p>
        </w:tc>
      </w:tr>
      <w:tr>
        <w:tc>
          <w:tcPr>
            <w:tcW w:type="dxa" w:w="3120"/>
          </w:tcPr>
          <w:p>
            <w:pPr>
              <w:jc w:val="left"/>
            </w:pPr>
            <w:r>
              <w:rPr>
                <w:rFonts w:ascii="Times New Roman" w:hAnsi="Times New Roman"/>
                <w:sz w:val="22"/>
              </w:rPr>
              <w:t>Anxiety</w:t>
            </w:r>
          </w:p>
        </w:tc>
        <w:tc>
          <w:tcPr>
            <w:tcW w:type="dxa" w:w="3120"/>
          </w:tcPr>
          <w:p>
            <w:pPr>
              <w:jc w:val="center"/>
            </w:pPr>
            <w:r>
              <w:rPr>
                <w:rFonts w:ascii="Times New Roman" w:hAnsi="Times New Roman"/>
                <w:sz w:val="22"/>
              </w:rPr>
              <w:t>9,555</w:t>
            </w:r>
          </w:p>
        </w:tc>
        <w:tc>
          <w:tcPr>
            <w:tcW w:type="dxa" w:w="3120"/>
          </w:tcPr>
          <w:p>
            <w:pPr>
              <w:jc w:val="center"/>
            </w:pPr>
            <w:r>
              <w:rPr>
                <w:rFonts w:ascii="Times New Roman" w:hAnsi="Times New Roman"/>
                <w:sz w:val="22"/>
              </w:rPr>
              <w:t>17.6%</w:t>
            </w:r>
          </w:p>
        </w:tc>
      </w:tr>
      <w:tr>
        <w:tc>
          <w:tcPr>
            <w:tcW w:type="dxa" w:w="3120"/>
          </w:tcPr>
          <w:p>
            <w:pPr>
              <w:jc w:val="left"/>
            </w:pPr>
            <w:r>
              <w:rPr>
                <w:rFonts w:ascii="Times New Roman" w:hAnsi="Times New Roman"/>
                <w:sz w:val="22"/>
              </w:rPr>
              <w:t>offmychest</w:t>
            </w:r>
          </w:p>
        </w:tc>
        <w:tc>
          <w:tcPr>
            <w:tcW w:type="dxa" w:w="3120"/>
          </w:tcPr>
          <w:p>
            <w:pPr>
              <w:jc w:val="center"/>
            </w:pPr>
            <w:r>
              <w:rPr>
                <w:rFonts w:ascii="Times New Roman" w:hAnsi="Times New Roman"/>
                <w:sz w:val="22"/>
              </w:rPr>
              <w:t>8,284</w:t>
            </w:r>
          </w:p>
        </w:tc>
        <w:tc>
          <w:tcPr>
            <w:tcW w:type="dxa" w:w="3120"/>
          </w:tcPr>
          <w:p>
            <w:pPr>
              <w:jc w:val="center"/>
            </w:pPr>
            <w:r>
              <w:rPr>
                <w:rFonts w:ascii="Times New Roman" w:hAnsi="Times New Roman"/>
                <w:sz w:val="22"/>
              </w:rPr>
              <w:t>15.2%</w:t>
            </w:r>
          </w:p>
        </w:tc>
      </w:tr>
      <w:tr>
        <w:tc>
          <w:tcPr>
            <w:tcW w:type="dxa" w:w="3120"/>
          </w:tcPr>
          <w:p>
            <w:pPr>
              <w:jc w:val="left"/>
            </w:pPr>
            <w:r>
              <w:rPr>
                <w:rFonts w:ascii="Times New Roman" w:hAnsi="Times New Roman"/>
                <w:sz w:val="22"/>
              </w:rPr>
              <w:t>bipolar</w:t>
            </w:r>
          </w:p>
        </w:tc>
        <w:tc>
          <w:tcPr>
            <w:tcW w:type="dxa" w:w="3120"/>
          </w:tcPr>
          <w:p>
            <w:pPr>
              <w:jc w:val="center"/>
            </w:pPr>
            <w:r>
              <w:rPr>
                <w:rFonts w:ascii="Times New Roman" w:hAnsi="Times New Roman"/>
                <w:sz w:val="22"/>
              </w:rPr>
              <w:t>7,645</w:t>
            </w:r>
          </w:p>
        </w:tc>
        <w:tc>
          <w:tcPr>
            <w:tcW w:type="dxa" w:w="3120"/>
          </w:tcPr>
          <w:p>
            <w:pPr>
              <w:jc w:val="center"/>
            </w:pPr>
            <w:r>
              <w:rPr>
                <w:rFonts w:ascii="Times New Roman" w:hAnsi="Times New Roman"/>
                <w:sz w:val="22"/>
              </w:rPr>
              <w:t>14.1%</w:t>
            </w:r>
          </w:p>
        </w:tc>
      </w:tr>
    </w:tbl>
    <w:p/>
    <w:p>
      <w:pPr>
        <w:jc w:val="center"/>
      </w:pPr>
      <w:r>
        <w:rPr>
          <w:rFonts w:ascii="Times New Roman" w:hAnsi="Times New Roman"/>
          <w:b w:val="0"/>
          <w:i/>
          <w:sz w:val="24"/>
        </w:rPr>
        <w:t>Table 3: Combined label distribution across all splits (N = 54,412).</w:t>
      </w:r>
    </w:p>
    <w:p>
      <w:pPr>
        <w:jc w:val="both"/>
      </w:pPr>
      <w:r>
        <w:rPr>
          <w:rFonts w:ascii="Times New Roman" w:hAnsi="Times New Roman"/>
          <w:b w:val="0"/>
          <w:i w:val="0"/>
          <w:sz w:val="24"/>
        </w:rPr>
        <w:t>The imbalance ratio (minimum class count divided by maximum class count) is 0.408, indicating moderate class imbalance. Depression is the largest class (~34.5%) and bipolar the smallest (~14.1%). All classes retain sufficient samples for supervised multi-class learning and neural fine-tuning, but macro-averaged F1 and per-class recall should be reported alongside weighted accuracy to reflect performance on minority classes.</w:t>
      </w:r>
    </w:p>
    <w:p>
      <w:pPr>
        <w:jc w:val="center"/>
      </w:pPr>
      <w:r>
        <w:drawing>
          <wp:inline xmlns:a="http://schemas.openxmlformats.org/drawingml/2006/main" xmlns:pic="http://schemas.openxmlformats.org/drawingml/2006/picture">
            <wp:extent cx="5029200" cy="1541104"/>
            <wp:docPr id="1" name="Picture 1"/>
            <wp:cNvGraphicFramePr>
              <a:graphicFrameLocks noChangeAspect="1"/>
            </wp:cNvGraphicFramePr>
            <a:graphic>
              <a:graphicData uri="http://schemas.openxmlformats.org/drawingml/2006/picture">
                <pic:pic>
                  <pic:nvPicPr>
                    <pic:cNvPr id="0" name="label_distribution.png"/>
                    <pic:cNvPicPr/>
                  </pic:nvPicPr>
                  <pic:blipFill>
                    <a:blip r:embed="rId9"/>
                    <a:stretch>
                      <a:fillRect/>
                    </a:stretch>
                  </pic:blipFill>
                  <pic:spPr>
                    <a:xfrm>
                      <a:off x="0" y="0"/>
                      <a:ext cx="5029200" cy="1541104"/>
                    </a:xfrm>
                    <a:prstGeom prst="rect"/>
                  </pic:spPr>
                </pic:pic>
              </a:graphicData>
            </a:graphic>
          </wp:inline>
        </w:drawing>
      </w:r>
    </w:p>
    <w:p>
      <w:pPr>
        <w:jc w:val="center"/>
      </w:pPr>
      <w:r>
        <w:rPr>
          <w:rFonts w:ascii="Times New Roman" w:hAnsi="Times New Roman"/>
          <w:i/>
          <w:sz w:val="20"/>
        </w:rPr>
        <w:t>Figure 1: Label distribution across train, validation, and test splits.</w:t>
      </w:r>
    </w:p>
    <w:p/>
    <w:p>
      <w:pPr>
        <w:pStyle w:val="Heading2"/>
        <w:spacing w:before="240" w:after="120"/>
      </w:pPr>
      <w:r>
        <w:rPr>
          <w:rFonts w:ascii="Times New Roman" w:hAnsi="Times New Roman"/>
          <w:color w:val="000000"/>
        </w:rPr>
        <w:t>4.2 Per-Split Proportions</w:t>
      </w:r>
    </w:p>
    <w:p>
      <w:pPr>
        <w:jc w:val="both"/>
      </w:pPr>
      <w:r>
        <w:rPr>
          <w:rFonts w:ascii="Times New Roman" w:hAnsi="Times New Roman"/>
          <w:b w:val="0"/>
          <w:i w:val="0"/>
          <w:sz w:val="24"/>
        </w:rPr>
        <w:t>Class proportions remain stable across splits. For example, depression accounts for approximately 34.3% of training posts, 34.8% of validation posts, and 34.7% of test posts. This consistency supports fair comparison between LLM-only and LLM+RAG conditions on identical held-out data.</w:t>
      </w:r>
    </w:p>
    <w:p>
      <w:pPr>
        <w:pStyle w:val="Heading1"/>
        <w:spacing w:before="240" w:after="120"/>
        <w:jc w:val="center"/>
      </w:pPr>
      <w:r>
        <w:rPr>
          <w:rFonts w:ascii="Times New Roman" w:hAnsi="Times New Roman"/>
          <w:color w:val="000000"/>
        </w:rPr>
        <w:t>5. Text Length Analysis</w:t>
      </w:r>
    </w:p>
    <w:p>
      <w:pPr>
        <w:jc w:val="both"/>
      </w:pPr>
      <w:r>
        <w:rPr>
          <w:rFonts w:ascii="Times New Roman" w:hAnsi="Times New Roman"/>
          <w:b w:val="0"/>
          <w:i w:val="0"/>
          <w:sz w:val="24"/>
        </w:rPr>
        <w:t>Post length affects tokenisation limits for transformer models (typically 512 subword tokens for BERT/RoBERTa-family encoders). Character and word counts were computed globally and per class.</w:t>
      </w:r>
    </w:p>
    <w:p>
      <w:pPr>
        <w:pStyle w:val="Heading2"/>
        <w:spacing w:before="240" w:after="120"/>
      </w:pPr>
      <w:r>
        <w:rPr>
          <w:rFonts w:ascii="Times New Roman" w:hAnsi="Times New Roman"/>
          <w:color w:val="000000"/>
        </w:rPr>
        <w:t>5.1 Global Descriptive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2"/>
              </w:rPr>
              <w:t>Statistic</w:t>
            </w:r>
          </w:p>
        </w:tc>
        <w:tc>
          <w:tcPr>
            <w:tcW w:type="dxa" w:w="3120"/>
          </w:tcPr>
          <w:p>
            <w:pPr>
              <w:jc w:val="center"/>
            </w:pPr>
            <w:r>
              <w:rPr>
                <w:rFonts w:ascii="Times New Roman" w:hAnsi="Times New Roman"/>
                <w:b/>
                <w:sz w:val="22"/>
              </w:rPr>
              <w:t>Character Count</w:t>
            </w:r>
          </w:p>
        </w:tc>
        <w:tc>
          <w:tcPr>
            <w:tcW w:type="dxa" w:w="3120"/>
          </w:tcPr>
          <w:p>
            <w:pPr>
              <w:jc w:val="center"/>
            </w:pPr>
            <w:r>
              <w:rPr>
                <w:rFonts w:ascii="Times New Roman" w:hAnsi="Times New Roman"/>
                <w:b/>
                <w:sz w:val="22"/>
              </w:rPr>
              <w:t>Word Count</w:t>
            </w:r>
          </w:p>
        </w:tc>
      </w:tr>
      <w:tr>
        <w:tc>
          <w:tcPr>
            <w:tcW w:type="dxa" w:w="3120"/>
          </w:tcPr>
          <w:p>
            <w:pPr>
              <w:jc w:val="left"/>
            </w:pPr>
            <w:r>
              <w:rPr>
                <w:rFonts w:ascii="Times New Roman" w:hAnsi="Times New Roman"/>
                <w:sz w:val="22"/>
              </w:rPr>
              <w:t>Mean</w:t>
            </w:r>
          </w:p>
        </w:tc>
        <w:tc>
          <w:tcPr>
            <w:tcW w:type="dxa" w:w="3120"/>
          </w:tcPr>
          <w:p>
            <w:pPr>
              <w:jc w:val="center"/>
            </w:pPr>
            <w:r>
              <w:rPr>
                <w:rFonts w:ascii="Times New Roman" w:hAnsi="Times New Roman"/>
                <w:sz w:val="22"/>
              </w:rPr>
              <w:t>932.77</w:t>
            </w:r>
          </w:p>
        </w:tc>
        <w:tc>
          <w:tcPr>
            <w:tcW w:type="dxa" w:w="3120"/>
          </w:tcPr>
          <w:p>
            <w:pPr>
              <w:jc w:val="center"/>
            </w:pPr>
            <w:r>
              <w:rPr>
                <w:rFonts w:ascii="Times New Roman" w:hAnsi="Times New Roman"/>
                <w:sz w:val="22"/>
              </w:rPr>
              <w:t>178.08</w:t>
            </w:r>
          </w:p>
        </w:tc>
      </w:tr>
      <w:tr>
        <w:tc>
          <w:tcPr>
            <w:tcW w:type="dxa" w:w="3120"/>
          </w:tcPr>
          <w:p>
            <w:pPr>
              <w:jc w:val="left"/>
            </w:pPr>
            <w:r>
              <w:rPr>
                <w:rFonts w:ascii="Times New Roman" w:hAnsi="Times New Roman"/>
                <w:sz w:val="22"/>
              </w:rPr>
              <w:t>Median</w:t>
            </w:r>
          </w:p>
        </w:tc>
        <w:tc>
          <w:tcPr>
            <w:tcW w:type="dxa" w:w="3120"/>
          </w:tcPr>
          <w:p>
            <w:pPr>
              <w:jc w:val="center"/>
            </w:pPr>
            <w:r>
              <w:rPr>
                <w:rFonts w:ascii="Times New Roman" w:hAnsi="Times New Roman"/>
                <w:sz w:val="22"/>
              </w:rPr>
              <w:t>565.00</w:t>
            </w:r>
          </w:p>
        </w:tc>
        <w:tc>
          <w:tcPr>
            <w:tcW w:type="dxa" w:w="3120"/>
          </w:tcPr>
          <w:p>
            <w:pPr>
              <w:jc w:val="center"/>
            </w:pPr>
            <w:r>
              <w:rPr>
                <w:rFonts w:ascii="Times New Roman" w:hAnsi="Times New Roman"/>
                <w:sz w:val="22"/>
              </w:rPr>
              <w:t>108.00</w:t>
            </w:r>
          </w:p>
        </w:tc>
      </w:tr>
      <w:tr>
        <w:tc>
          <w:tcPr>
            <w:tcW w:type="dxa" w:w="3120"/>
          </w:tcPr>
          <w:p>
            <w:pPr>
              <w:jc w:val="left"/>
            </w:pPr>
            <w:r>
              <w:rPr>
                <w:rFonts w:ascii="Times New Roman" w:hAnsi="Times New Roman"/>
                <w:sz w:val="22"/>
              </w:rPr>
              <w:t>Minimum</w:t>
            </w:r>
          </w:p>
        </w:tc>
        <w:tc>
          <w:tcPr>
            <w:tcW w:type="dxa" w:w="3120"/>
          </w:tcPr>
          <w:p>
            <w:pPr>
              <w:jc w:val="center"/>
            </w:pPr>
            <w:r>
              <w:rPr>
                <w:rFonts w:ascii="Times New Roman" w:hAnsi="Times New Roman"/>
                <w:sz w:val="22"/>
              </w:rPr>
              <w:t>—</w:t>
            </w:r>
          </w:p>
        </w:tc>
        <w:tc>
          <w:tcPr>
            <w:tcW w:type="dxa" w:w="3120"/>
          </w:tcPr>
          <w:p>
            <w:pPr>
              <w:jc w:val="center"/>
            </w:pPr>
            <w:r>
              <w:rPr>
                <w:rFonts w:ascii="Times New Roman" w:hAnsi="Times New Roman"/>
                <w:sz w:val="22"/>
              </w:rPr>
              <w:t>—</w:t>
            </w:r>
          </w:p>
        </w:tc>
      </w:tr>
      <w:tr>
        <w:tc>
          <w:tcPr>
            <w:tcW w:type="dxa" w:w="3120"/>
          </w:tcPr>
          <w:p>
            <w:pPr>
              <w:jc w:val="left"/>
            </w:pPr>
            <w:r>
              <w:rPr>
                <w:rFonts w:ascii="Times New Roman" w:hAnsi="Times New Roman"/>
                <w:sz w:val="22"/>
              </w:rPr>
              <w:t>Maximum</w:t>
            </w:r>
          </w:p>
        </w:tc>
        <w:tc>
          <w:tcPr>
            <w:tcW w:type="dxa" w:w="3120"/>
          </w:tcPr>
          <w:p>
            <w:pPr>
              <w:jc w:val="center"/>
            </w:pPr>
            <w:r>
              <w:rPr>
                <w:rFonts w:ascii="Times New Roman" w:hAnsi="Times New Roman"/>
                <w:sz w:val="22"/>
              </w:rPr>
              <w:t>—</w:t>
            </w:r>
          </w:p>
        </w:tc>
        <w:tc>
          <w:tcPr>
            <w:tcW w:type="dxa" w:w="3120"/>
          </w:tcPr>
          <w:p>
            <w:pPr>
              <w:jc w:val="center"/>
            </w:pPr>
            <w:r>
              <w:rPr>
                <w:rFonts w:ascii="Times New Roman" w:hAnsi="Times New Roman"/>
                <w:sz w:val="22"/>
              </w:rPr>
              <w:t>—</w:t>
            </w:r>
          </w:p>
        </w:tc>
      </w:tr>
      <w:tr>
        <w:tc>
          <w:tcPr>
            <w:tcW w:type="dxa" w:w="3120"/>
          </w:tcPr>
          <w:p>
            <w:pPr>
              <w:jc w:val="left"/>
            </w:pPr>
            <w:r>
              <w:rPr>
                <w:rFonts w:ascii="Times New Roman" w:hAnsi="Times New Roman"/>
                <w:sz w:val="22"/>
              </w:rPr>
              <w:t>Standard Deviation</w:t>
            </w:r>
          </w:p>
        </w:tc>
        <w:tc>
          <w:tcPr>
            <w:tcW w:type="dxa" w:w="3120"/>
          </w:tcPr>
          <w:p>
            <w:pPr>
              <w:jc w:val="center"/>
            </w:pPr>
            <w:r>
              <w:rPr>
                <w:rFonts w:ascii="Times New Roman" w:hAnsi="Times New Roman"/>
                <w:sz w:val="22"/>
              </w:rPr>
              <w:t>—</w:t>
            </w:r>
          </w:p>
        </w:tc>
        <w:tc>
          <w:tcPr>
            <w:tcW w:type="dxa" w:w="3120"/>
          </w:tcPr>
          <w:p>
            <w:pPr>
              <w:jc w:val="center"/>
            </w:pPr>
            <w:r>
              <w:rPr>
                <w:rFonts w:ascii="Times New Roman" w:hAnsi="Times New Roman"/>
                <w:sz w:val="22"/>
              </w:rPr>
              <w:t>—</w:t>
            </w:r>
          </w:p>
        </w:tc>
      </w:tr>
    </w:tbl>
    <w:p/>
    <w:p>
      <w:pPr>
        <w:jc w:val="center"/>
      </w:pPr>
      <w:r>
        <w:rPr>
          <w:rFonts w:ascii="Times New Roman" w:hAnsi="Times New Roman"/>
          <w:b w:val="0"/>
          <w:i/>
          <w:sz w:val="24"/>
        </w:rPr>
        <w:t>Table 4: Global text-length statistics (combined corpus).</w:t>
      </w:r>
    </w:p>
    <w:p>
      <w:pPr>
        <w:jc w:val="both"/>
      </w:pPr>
      <w:r>
        <w:rPr>
          <w:rFonts w:ascii="Times New Roman" w:hAnsi="Times New Roman"/>
          <w:b w:val="0"/>
          <w:i w:val="0"/>
          <w:sz w:val="24"/>
        </w:rPr>
        <w:t>Additional length findings:</w:t>
      </w:r>
    </w:p>
    <w:p>
      <w:pPr>
        <w:pStyle w:val="ListBullet"/>
        <w:spacing w:line="360" w:lineRule="auto"/>
      </w:pPr>
      <w:r>
        <w:rPr>
          <w:rFonts w:ascii="Times New Roman" w:hAnsi="Times New Roman"/>
          <w:sz w:val="24"/>
        </w:rPr>
        <w:t>95th percentile word count: 572 words</w:t>
      </w:r>
    </w:p>
    <w:p>
      <w:pPr>
        <w:pStyle w:val="ListBullet"/>
        <w:spacing w:line="360" w:lineRule="auto"/>
      </w:pPr>
      <w:r>
        <w:rPr>
          <w:rFonts w:ascii="Times New Roman" w:hAnsi="Times New Roman"/>
          <w:sz w:val="24"/>
        </w:rPr>
        <w:t>99th percentile word count: 1,121 words</w:t>
      </w:r>
    </w:p>
    <w:p>
      <w:pPr>
        <w:pStyle w:val="ListBullet"/>
        <w:spacing w:line="360" w:lineRule="auto"/>
      </w:pPr>
      <w:r>
        <w:rPr>
          <w:rFonts w:ascii="Times New Roman" w:hAnsi="Times New Roman"/>
          <w:sz w:val="24"/>
        </w:rPr>
        <w:t>Posts exceeding 512 words: 3,437 (6.32% of corpus)</w:t>
      </w:r>
    </w:p>
    <w:p>
      <w:pPr>
        <w:jc w:val="center"/>
      </w:pPr>
      <w:r>
        <w:drawing>
          <wp:inline xmlns:a="http://schemas.openxmlformats.org/drawingml/2006/main" xmlns:pic="http://schemas.openxmlformats.org/drawingml/2006/picture">
            <wp:extent cx="5029200" cy="3149948"/>
            <wp:docPr id="2" name="Picture 2"/>
            <wp:cNvGraphicFramePr>
              <a:graphicFrameLocks noChangeAspect="1"/>
            </wp:cNvGraphicFramePr>
            <a:graphic>
              <a:graphicData uri="http://schemas.openxmlformats.org/drawingml/2006/picture">
                <pic:pic>
                  <pic:nvPicPr>
                    <pic:cNvPr id="0" name="word_count_histogram.png"/>
                    <pic:cNvPicPr/>
                  </pic:nvPicPr>
                  <pic:blipFill>
                    <a:blip r:embed="rId10"/>
                    <a:stretch>
                      <a:fillRect/>
                    </a:stretch>
                  </pic:blipFill>
                  <pic:spPr>
                    <a:xfrm>
                      <a:off x="0" y="0"/>
                      <a:ext cx="5029200" cy="3149948"/>
                    </a:xfrm>
                    <a:prstGeom prst="rect"/>
                  </pic:spPr>
                </pic:pic>
              </a:graphicData>
            </a:graphic>
          </wp:inline>
        </w:drawing>
      </w:r>
    </w:p>
    <w:p>
      <w:pPr>
        <w:jc w:val="center"/>
      </w:pPr>
      <w:r>
        <w:rPr>
          <w:rFonts w:ascii="Times New Roman" w:hAnsi="Times New Roman"/>
          <w:i/>
          <w:sz w:val="20"/>
        </w:rPr>
        <w:t>Figure 2: Distribution of word counts across all posts.</w:t>
      </w:r>
    </w:p>
    <w:p/>
    <w:p>
      <w:pPr>
        <w:jc w:val="center"/>
      </w:pPr>
      <w:r>
        <w:drawing>
          <wp:inline xmlns:a="http://schemas.openxmlformats.org/drawingml/2006/main" xmlns:pic="http://schemas.openxmlformats.org/drawingml/2006/picture">
            <wp:extent cx="5029200" cy="3170457"/>
            <wp:docPr id="3" name="Picture 3"/>
            <wp:cNvGraphicFramePr>
              <a:graphicFrameLocks noChangeAspect="1"/>
            </wp:cNvGraphicFramePr>
            <a:graphic>
              <a:graphicData uri="http://schemas.openxmlformats.org/drawingml/2006/picture">
                <pic:pic>
                  <pic:nvPicPr>
                    <pic:cNvPr id="0" name="character_count_histogram.png"/>
                    <pic:cNvPicPr/>
                  </pic:nvPicPr>
                  <pic:blipFill>
                    <a:blip r:embed="rId11"/>
                    <a:stretch>
                      <a:fillRect/>
                    </a:stretch>
                  </pic:blipFill>
                  <pic:spPr>
                    <a:xfrm>
                      <a:off x="0" y="0"/>
                      <a:ext cx="5029200" cy="3170457"/>
                    </a:xfrm>
                    <a:prstGeom prst="rect"/>
                  </pic:spPr>
                </pic:pic>
              </a:graphicData>
            </a:graphic>
          </wp:inline>
        </w:drawing>
      </w:r>
    </w:p>
    <w:p>
      <w:pPr>
        <w:jc w:val="center"/>
      </w:pPr>
      <w:r>
        <w:rPr>
          <w:rFonts w:ascii="Times New Roman" w:hAnsi="Times New Roman"/>
          <w:i/>
          <w:sz w:val="20"/>
        </w:rPr>
        <w:t>Figure 3: Distribution of character counts across all posts.</w:t>
      </w:r>
    </w:p>
    <w:p/>
    <w:p>
      <w:pPr>
        <w:jc w:val="center"/>
      </w:pPr>
      <w:r>
        <w:drawing>
          <wp:inline xmlns:a="http://schemas.openxmlformats.org/drawingml/2006/main" xmlns:pic="http://schemas.openxmlformats.org/drawingml/2006/picture">
            <wp:extent cx="5029200" cy="2967048"/>
            <wp:docPr id="4" name="Picture 4"/>
            <wp:cNvGraphicFramePr>
              <a:graphicFrameLocks noChangeAspect="1"/>
            </wp:cNvGraphicFramePr>
            <a:graphic>
              <a:graphicData uri="http://schemas.openxmlformats.org/drawingml/2006/picture">
                <pic:pic>
                  <pic:nvPicPr>
                    <pic:cNvPr id="0" name="text_length_boxplot.png"/>
                    <pic:cNvPicPr/>
                  </pic:nvPicPr>
                  <pic:blipFill>
                    <a:blip r:embed="rId12"/>
                    <a:stretch>
                      <a:fillRect/>
                    </a:stretch>
                  </pic:blipFill>
                  <pic:spPr>
                    <a:xfrm>
                      <a:off x="0" y="0"/>
                      <a:ext cx="5029200" cy="2967048"/>
                    </a:xfrm>
                    <a:prstGeom prst="rect"/>
                  </pic:spPr>
                </pic:pic>
              </a:graphicData>
            </a:graphic>
          </wp:inline>
        </w:drawing>
      </w:r>
    </w:p>
    <w:p>
      <w:pPr>
        <w:jc w:val="center"/>
      </w:pPr>
      <w:r>
        <w:rPr>
          <w:rFonts w:ascii="Times New Roman" w:hAnsi="Times New Roman"/>
          <w:i/>
          <w:sz w:val="20"/>
        </w:rPr>
        <w:t>Figure 4: Word count distribution by class (boxplot).</w:t>
      </w:r>
    </w:p>
    <w:p/>
    <w:p>
      <w:pPr>
        <w:jc w:val="both"/>
      </w:pPr>
      <w:r>
        <w:rPr>
          <w:rFonts w:ascii="Times New Roman" w:hAnsi="Times New Roman"/>
          <w:b w:val="0"/>
          <w:i w:val="0"/>
          <w:sz w:val="24"/>
        </w:rPr>
        <w:t>The right-skewed distribution indicates that while most posts are moderate in length (median ~108 words), a non-trivial tail of long narrative disclosures exists. SuicideWatch and offmychest posts tend toward longer personal storytelling; Anxiety posts often describe somatic symptoms and situational triggers in shorter form. Truncation to model token limits will be required for approximately 6.3% of posts, using a head-preserving strategy that retains emotionally salient opening content.</w:t>
      </w:r>
    </w:p>
    <w:p>
      <w:pPr>
        <w:pStyle w:val="Heading1"/>
        <w:spacing w:before="240" w:after="120"/>
        <w:jc w:val="center"/>
      </w:pPr>
      <w:r>
        <w:rPr>
          <w:rFonts w:ascii="Times New Roman" w:hAnsi="Times New Roman"/>
          <w:color w:val="000000"/>
        </w:rPr>
        <w:t>6. Qualitative Observations</w:t>
      </w:r>
    </w:p>
    <w:p>
      <w:pPr>
        <w:jc w:val="both"/>
      </w:pPr>
      <w:r>
        <w:rPr>
          <w:rFonts w:ascii="Times New Roman" w:hAnsi="Times New Roman"/>
          <w:b w:val="0"/>
          <w:i w:val="0"/>
          <w:sz w:val="24"/>
        </w:rPr>
        <w:t>Five random posts per class were sampled (random seed = 42) to inspect writing style, thematic content, and label ambiguity. The following patterns emerged.</w:t>
      </w:r>
    </w:p>
    <w:p>
      <w:pPr>
        <w:pStyle w:val="Heading2"/>
        <w:spacing w:before="240" w:after="120"/>
      </w:pPr>
      <w:r>
        <w:rPr>
          <w:rFonts w:ascii="Times New Roman" w:hAnsi="Times New Roman"/>
          <w:color w:val="000000"/>
        </w:rPr>
        <w:t>6.1 Writing Styles</w:t>
      </w:r>
    </w:p>
    <w:p>
      <w:pPr>
        <w:jc w:val="both"/>
      </w:pPr>
      <w:r>
        <w:rPr>
          <w:rFonts w:ascii="Times New Roman" w:hAnsi="Times New Roman"/>
          <w:b w:val="0"/>
          <w:i w:val="0"/>
          <w:sz w:val="24"/>
        </w:rPr>
        <w:t>Posts range from brief emotional statements to extended narrative disclosures. Language is informal, first-person, and rich in emotionally charged vocabulary—reflecting real-world digital mental-health discourse rather than clinical intake notes. This ecological validity makes SWMH representative of the text users might submit to TrustMind AI check-ins.</w:t>
      </w:r>
    </w:p>
    <w:p>
      <w:pPr>
        <w:pStyle w:val="Heading2"/>
        <w:spacing w:before="240" w:after="120"/>
      </w:pPr>
      <w:r>
        <w:rPr>
          <w:rFonts w:ascii="Times New Roman" w:hAnsi="Times New Roman"/>
          <w:color w:val="000000"/>
        </w:rPr>
        <w:t>6.2 Overlap Between Categories</w:t>
      </w:r>
    </w:p>
    <w:p>
      <w:pPr>
        <w:jc w:val="both"/>
      </w:pPr>
      <w:r>
        <w:rPr>
          <w:rFonts w:ascii="Times New Roman" w:hAnsi="Times New Roman"/>
          <w:b w:val="0"/>
          <w:i w:val="0"/>
          <w:sz w:val="24"/>
        </w:rPr>
        <w:t>Subreddit labels are noisy proxies for mental-health conditions. Symptom vocabulary overlaps substantially across depression, anxiety, and bipolar classes. A single post may express comorbid concerns that do not map cleanly to one subreddit label. For example, posts expressing hopelessness appear in depression, SuicideWatch, and offmychest classes alike.</w:t>
      </w:r>
    </w:p>
    <w:p>
      <w:pPr>
        <w:pStyle w:val="Heading2"/>
        <w:spacing w:before="240" w:after="120"/>
      </w:pPr>
      <w:r>
        <w:rPr>
          <w:rFonts w:ascii="Times New Roman" w:hAnsi="Times New Roman"/>
          <w:color w:val="000000"/>
        </w:rPr>
        <w:t>6.3 Ambiguity of offmychest</w:t>
      </w:r>
    </w:p>
    <w:p>
      <w:pPr>
        <w:jc w:val="both"/>
      </w:pPr>
      <w:r>
        <w:rPr>
          <w:rFonts w:ascii="Times New Roman" w:hAnsi="Times New Roman"/>
          <w:b w:val="0"/>
          <w:i w:val="0"/>
          <w:sz w:val="24"/>
        </w:rPr>
        <w:t>The offmychest subreddit is a general venting space, not a clinical mental-health forum. Many posts are situational (relationship conflict, workplace stress) rather than disorder-specific, increasing label noise if treated as a distinct diagnostic category. This class is particularly problematic for standalone LLMs that may exploit superficial lexical cues rather than semantic distress signals.</w:t>
      </w:r>
    </w:p>
    <w:p>
      <w:pPr>
        <w:pStyle w:val="Heading2"/>
        <w:spacing w:before="240" w:after="120"/>
      </w:pPr>
      <w:r>
        <w:rPr>
          <w:rFonts w:ascii="Times New Roman" w:hAnsi="Times New Roman"/>
          <w:color w:val="000000"/>
        </w:rPr>
        <w:t>6.4 Crisis and High-Risk Language</w:t>
      </w:r>
    </w:p>
    <w:p>
      <w:pPr>
        <w:jc w:val="both"/>
      </w:pPr>
      <w:r>
        <w:rPr>
          <w:rFonts w:ascii="Times New Roman" w:hAnsi="Times New Roman"/>
          <w:b w:val="0"/>
          <w:i w:val="0"/>
          <w:sz w:val="24"/>
        </w:rPr>
        <w:t>SuicideWatch posts frequently contain explicit crisis language, including suicidal ideation, self-harm references, and requests for support. Sample posts include phrases such as "I feel deader than dead" and "Suicidal, but won't do it. Just need someone to talk to." Any trustworthy wellbeing system must handle such content with abstention policies, safe signposting, and retrieval of authoritative crisis resources rather than open-ended generative advice.</w:t>
      </w:r>
    </w:p>
    <w:p>
      <w:pPr>
        <w:pStyle w:val="Heading2"/>
        <w:spacing w:before="240" w:after="120"/>
      </w:pPr>
      <w:r>
        <w:rPr>
          <w:rFonts w:ascii="Times New Roman" w:hAnsi="Times New Roman"/>
          <w:color w:val="000000"/>
        </w:rPr>
        <w:t>6.5 Implications for LLM-Only Systems</w:t>
      </w:r>
    </w:p>
    <w:p>
      <w:pPr>
        <w:jc w:val="both"/>
      </w:pPr>
      <w:r>
        <w:rPr>
          <w:rFonts w:ascii="Times New Roman" w:hAnsi="Times New Roman"/>
          <w:b w:val="0"/>
          <w:i w:val="0"/>
          <w:sz w:val="24"/>
        </w:rPr>
        <w:t>Large language models may exploit subreddit-specific jargon or superficial lexical patterns rather than genuine semantic distress signals. Fine-tuning or prompt-based LLM-only baselines risk overconfident predictions on ambiguous posts—particularly in offmychest and borderline cases. Calibrated uncertainty quantification and abstention when class probability is low are therefore essential evaluation criteria.</w:t>
      </w:r>
    </w:p>
    <w:p>
      <w:pPr>
        <w:pStyle w:val="Heading2"/>
        <w:spacing w:before="240" w:after="120"/>
      </w:pPr>
      <w:r>
        <w:rPr>
          <w:rFonts w:ascii="Times New Roman" w:hAnsi="Times New Roman"/>
          <w:color w:val="000000"/>
        </w:rPr>
        <w:t>6.6 Implications for RAG-Enhanced Systems</w:t>
      </w:r>
    </w:p>
    <w:p>
      <w:pPr>
        <w:jc w:val="both"/>
      </w:pPr>
      <w:r>
        <w:rPr>
          <w:rFonts w:ascii="Times New Roman" w:hAnsi="Times New Roman"/>
          <w:b w:val="0"/>
          <w:i w:val="0"/>
          <w:sz w:val="24"/>
        </w:rPr>
        <w:t>Retrieval-augmented generation can ground responses in external wellbeing resources (UWE support pages, NHS Every Mind Matters, Samaritans signposting, ethics policy documents) rather than relying solely on subreddit-derived labels. RAG may improve explainability through cited source snippets and reduce hallucinated clinical advice, particularly for ambiguous offmychest posts and crisis-adjacent content.</w:t>
      </w:r>
    </w:p>
    <w:p>
      <w:pPr>
        <w:pStyle w:val="Heading1"/>
        <w:spacing w:before="240" w:after="120"/>
        <w:jc w:val="center"/>
      </w:pPr>
      <w:r>
        <w:rPr>
          <w:rFonts w:ascii="Times New Roman" w:hAnsi="Times New Roman"/>
          <w:color w:val="000000"/>
        </w:rPr>
        <w:t>7. Preprocessing Plan</w:t>
      </w:r>
    </w:p>
    <w:p>
      <w:pPr>
        <w:jc w:val="both"/>
      </w:pPr>
      <w:r>
        <w:rPr>
          <w:rFonts w:ascii="Times New Roman" w:hAnsi="Times New Roman"/>
          <w:b w:val="0"/>
          <w:i w:val="0"/>
          <w:sz w:val="24"/>
        </w:rPr>
        <w:t>The following pipeline is documented for subsequent experiments but was not executed during EDA:</w:t>
      </w:r>
    </w:p>
    <w:p>
      <w:pPr>
        <w:pStyle w:val="ListBullet"/>
        <w:spacing w:line="360" w:lineRule="auto"/>
      </w:pPr>
      <w:r>
        <w:rPr>
          <w:rFonts w:ascii="Times New Roman" w:hAnsi="Times New Roman"/>
          <w:sz w:val="24"/>
        </w:rPr>
        <w:t>1. UTF-8 encoding — ensure consistent character encoding across platforms.</w:t>
      </w:r>
    </w:p>
    <w:p>
      <w:pPr>
        <w:pStyle w:val="ListBullet"/>
        <w:spacing w:line="360" w:lineRule="auto"/>
      </w:pPr>
      <w:r>
        <w:rPr>
          <w:rFonts w:ascii="Times New Roman" w:hAnsi="Times New Roman"/>
          <w:sz w:val="24"/>
        </w:rPr>
        <w:t>2. HTML entity decoding — convert entities such as &amp;amp;nbsp; to plain text.</w:t>
      </w:r>
    </w:p>
    <w:p>
      <w:pPr>
        <w:pStyle w:val="ListBullet"/>
        <w:spacing w:line="360" w:lineRule="auto"/>
      </w:pPr>
      <w:r>
        <w:rPr>
          <w:rFonts w:ascii="Times New Roman" w:hAnsi="Times New Roman"/>
          <w:sz w:val="24"/>
        </w:rPr>
        <w:t>3. URL removal — strip http://, https://, and www. links via regular expressions.</w:t>
      </w:r>
    </w:p>
    <w:p>
      <w:pPr>
        <w:pStyle w:val="ListBullet"/>
        <w:spacing w:line="360" w:lineRule="auto"/>
      </w:pPr>
      <w:r>
        <w:rPr>
          <w:rFonts w:ascii="Times New Roman" w:hAnsi="Times New Roman"/>
          <w:sz w:val="24"/>
        </w:rPr>
        <w:t>4. Username anonymisation — replace Reddit mentions (u/username) with a generic [USER] token.</w:t>
      </w:r>
    </w:p>
    <w:p>
      <w:pPr>
        <w:pStyle w:val="ListBullet"/>
        <w:spacing w:line="360" w:lineRule="auto"/>
      </w:pPr>
      <w:r>
        <w:rPr>
          <w:rFonts w:ascii="Times New Roman" w:hAnsi="Times New Roman"/>
          <w:sz w:val="24"/>
        </w:rPr>
        <w:t>5. Whitespace normalisation — collapse repeated spaces and newlines; strip leading/trailing whitespace.</w:t>
      </w:r>
    </w:p>
    <w:p>
      <w:pPr>
        <w:pStyle w:val="ListBullet"/>
        <w:spacing w:line="360" w:lineRule="auto"/>
      </w:pPr>
      <w:r>
        <w:rPr>
          <w:rFonts w:ascii="Times New Roman" w:hAnsi="Times New Roman"/>
          <w:sz w:val="24"/>
        </w:rPr>
        <w:t>6. Duplicate removal — drop exact duplicate (text, label) pairs where appropriate.</w:t>
      </w:r>
    </w:p>
    <w:p>
      <w:pPr>
        <w:pStyle w:val="ListBullet"/>
        <w:spacing w:line="360" w:lineRule="auto"/>
      </w:pPr>
      <w:r>
        <w:rPr>
          <w:rFonts w:ascii="Times New Roman" w:hAnsi="Times New Roman"/>
          <w:sz w:val="24"/>
        </w:rPr>
        <w:t>7. Truncation to model token limit — truncate to 512 subword tokens using head-preserving strategy; log truncated samples.</w:t>
      </w:r>
    </w:p>
    <w:p>
      <w:pPr>
        <w:pStyle w:val="ListBullet"/>
        <w:spacing w:line="360" w:lineRule="auto"/>
      </w:pPr>
      <w:r>
        <w:rPr>
          <w:rFonts w:ascii="Times New Roman" w:hAnsi="Times New Roman"/>
          <w:sz w:val="24"/>
        </w:rPr>
        <w:t>8. Semantic preservation — avoid aggressive stemming or stop-word removal that could delete emotionally meaningful terms (e.g., "empty", "hopeless", "panic").</w:t>
      </w:r>
    </w:p>
    <w:p>
      <w:pPr>
        <w:jc w:val="both"/>
      </w:pPr>
      <w:r>
        <w:rPr>
          <w:rFonts w:ascii="Times New Roman" w:hAnsi="Times New Roman"/>
          <w:b w:val="0"/>
          <w:i w:val="0"/>
          <w:sz w:val="24"/>
        </w:rPr>
        <w:t>This pipeline balances NLP standard practice with mental-health domain sensitivity, supporting fair comparison between LLM-only and LLM+RAG experimental conditions on identically preprocessed data.</w:t>
      </w:r>
    </w:p>
    <w:p>
      <w:pPr>
        <w:pStyle w:val="Heading1"/>
        <w:spacing w:before="240" w:after="120"/>
        <w:jc w:val="center"/>
      </w:pPr>
      <w:r>
        <w:rPr>
          <w:rFonts w:ascii="Times New Roman" w:hAnsi="Times New Roman"/>
          <w:color w:val="000000"/>
        </w:rPr>
        <w:t>8. How EDA Supports the Research Question</w:t>
      </w:r>
    </w:p>
    <w:p>
      <w:pPr>
        <w:pStyle w:val="Heading2"/>
        <w:spacing w:before="240" w:after="120"/>
      </w:pPr>
      <w:r>
        <w:rPr>
          <w:rFonts w:ascii="Times New Roman" w:hAnsi="Times New Roman"/>
          <w:color w:val="000000"/>
        </w:rPr>
        <w:t>8.1 What EDA Can and Cannot Prove</w:t>
      </w:r>
    </w:p>
    <w:p>
      <w:pPr>
        <w:jc w:val="both"/>
      </w:pPr>
      <w:r>
        <w:rPr>
          <w:rFonts w:ascii="Times New Roman" w:hAnsi="Times New Roman"/>
          <w:b w:val="0"/>
          <w:i w:val="0"/>
          <w:sz w:val="24"/>
        </w:rPr>
        <w:t>It is important to state clearly: exploratory data analysis alone cannot prove that RAG improves trustworthiness, reliability, or explainability compared with standalone LLMs. Those constructs require controlled experimental evaluation with defined metrics, baselines, and statistical comparison. EDA provides the evidential foundation and experimental justification; the answer to the research question will emerge from the experimental results chapter.</w:t>
      </w:r>
    </w:p>
    <w:p>
      <w:pPr>
        <w:pStyle w:val="Heading2"/>
        <w:spacing w:before="240" w:after="120"/>
      </w:pPr>
      <w:r>
        <w:rPr>
          <w:rFonts w:ascii="Times New Roman" w:hAnsi="Times New Roman"/>
          <w:color w:val="000000"/>
        </w:rPr>
        <w:t>8.2 Direct Support: Enabling Fair Experimental Design</w:t>
      </w:r>
    </w:p>
    <w:p>
      <w:pPr>
        <w:jc w:val="both"/>
      </w:pPr>
      <w:r>
        <w:rPr>
          <w:rFonts w:ascii="Times New Roman" w:hAnsi="Times New Roman"/>
          <w:b w:val="0"/>
          <w:i w:val="0"/>
          <w:sz w:val="24"/>
        </w:rPr>
        <w:t>EDA directly supports the research question by establishing the conditions necessary for a rigorous LLM-only versus LLM+RAG comparison:</w:t>
      </w:r>
    </w:p>
    <w:p>
      <w:pPr>
        <w:pStyle w:val="ListBullet"/>
        <w:spacing w:line="360" w:lineRule="auto"/>
      </w:pPr>
      <w:r>
        <w:rPr>
          <w:rFonts w:ascii="Times New Roman" w:hAnsi="Times New Roman"/>
          <w:sz w:val="24"/>
        </w:rPr>
        <w:t>A clean, large-scale benchmark (54,412 posts) with pre-defined train/validation/test splits enables identical evaluation data for both conditions.</w:t>
      </w:r>
    </w:p>
    <w:p>
      <w:pPr>
        <w:pStyle w:val="ListBullet"/>
        <w:spacing w:line="360" w:lineRule="auto"/>
      </w:pPr>
      <w:r>
        <w:rPr>
          <w:rFonts w:ascii="Times New Roman" w:hAnsi="Times New Roman"/>
          <w:sz w:val="24"/>
        </w:rPr>
        <w:t>Stable class proportions across splits confirm that stratified evaluation on the 10,883-post test set is representative.</w:t>
      </w:r>
    </w:p>
    <w:p>
      <w:pPr>
        <w:pStyle w:val="ListBullet"/>
        <w:spacing w:line="360" w:lineRule="auto"/>
      </w:pPr>
      <w:r>
        <w:rPr>
          <w:rFonts w:ascii="Times New Roman" w:hAnsi="Times New Roman"/>
          <w:sz w:val="24"/>
        </w:rPr>
        <w:t>Documented preprocessing steps ensure both systems receive identically prepared inputs, controlling for data-handling confounds.</w:t>
      </w:r>
    </w:p>
    <w:p>
      <w:pPr>
        <w:pStyle w:val="ListBullet"/>
        <w:spacing w:line="360" w:lineRule="auto"/>
      </w:pPr>
      <w:r>
        <w:rPr>
          <w:rFonts w:ascii="Times New Roman" w:hAnsi="Times New Roman"/>
          <w:sz w:val="24"/>
        </w:rPr>
        <w:t>Defined evaluation metrics (macro-F1, per-class recall, calibration error, abstention rate, citation faithfulness) are motivated by observed class imbalance and label ambiguity.</w:t>
      </w:r>
    </w:p>
    <w:p>
      <w:pPr>
        <w:jc w:val="both"/>
      </w:pPr>
      <w:r>
        <w:rPr>
          <w:rFonts w:ascii="Times New Roman" w:hAnsi="Times New Roman"/>
          <w:b w:val="0"/>
          <w:i w:val="0"/>
          <w:sz w:val="24"/>
        </w:rPr>
        <w:t>Without this EDA foundation, any claim about RAG superiority would rest on an unexamined dataset. The analysis therefore directly supports the research question by making a controlled, reproducible comparison possible.</w:t>
      </w:r>
    </w:p>
    <w:p>
      <w:pPr>
        <w:pStyle w:val="Heading2"/>
        <w:spacing w:before="240" w:after="120"/>
      </w:pPr>
      <w:r>
        <w:rPr>
          <w:rFonts w:ascii="Times New Roman" w:hAnsi="Times New Roman"/>
          <w:color w:val="000000"/>
        </w:rPr>
        <w:t>8.3 Indirect Support: Motivating Why RAG Should Be Tested</w:t>
      </w:r>
    </w:p>
    <w:p>
      <w:pPr>
        <w:jc w:val="both"/>
      </w:pPr>
      <w:r>
        <w:rPr>
          <w:rFonts w:ascii="Times New Roman" w:hAnsi="Times New Roman"/>
          <w:b w:val="0"/>
          <w:i w:val="0"/>
          <w:sz w:val="24"/>
        </w:rPr>
        <w:t>EDA indirectly supports the research question by revealing dataset properties that create specific failure modes for standalone LLMs—and corresponding opportunities for RAG to add value: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EDA Finding</w:t>
            </w:r>
          </w:p>
        </w:tc>
        <w:tc>
          <w:tcPr>
            <w:tcW w:type="dxa" w:w="2340"/>
          </w:tcPr>
          <w:p>
            <w:pPr>
              <w:jc w:val="center"/>
            </w:pPr>
            <w:r>
              <w:rPr>
                <w:rFonts w:ascii="Times New Roman" w:hAnsi="Times New Roman"/>
                <w:b/>
                <w:sz w:val="22"/>
              </w:rPr>
              <w:t>Challenge for Standalone LLM</w:t>
            </w:r>
          </w:p>
        </w:tc>
        <w:tc>
          <w:tcPr>
            <w:tcW w:type="dxa" w:w="2340"/>
          </w:tcPr>
          <w:p>
            <w:pPr>
              <w:jc w:val="center"/>
            </w:pPr>
            <w:r>
              <w:rPr>
                <w:rFonts w:ascii="Times New Roman" w:hAnsi="Times New Roman"/>
                <w:b/>
                <w:sz w:val="22"/>
              </w:rPr>
              <w:t>Potential RAG Benefit</w:t>
            </w:r>
          </w:p>
        </w:tc>
        <w:tc>
          <w:tcPr>
            <w:tcW w:type="dxa" w:w="2340"/>
          </w:tcPr>
          <w:p>
            <w:pPr>
              <w:jc w:val="center"/>
            </w:pPr>
            <w:r>
              <w:rPr>
                <w:rFonts w:ascii="Times New Roman" w:hAnsi="Times New Roman"/>
                <w:b/>
                <w:sz w:val="22"/>
              </w:rPr>
              <w:t>Construct Addressed</w:t>
            </w:r>
          </w:p>
        </w:tc>
      </w:tr>
      <w:tr>
        <w:tc>
          <w:tcPr>
            <w:tcW w:type="dxa" w:w="2340"/>
          </w:tcPr>
          <w:p>
            <w:pPr>
              <w:jc w:val="left"/>
            </w:pPr>
            <w:r>
              <w:rPr>
                <w:rFonts w:ascii="Times New Roman" w:hAnsi="Times New Roman"/>
                <w:sz w:val="22"/>
              </w:rPr>
              <w:t>Noisy subreddit labels; offmychest ambiguity</w:t>
            </w:r>
          </w:p>
        </w:tc>
        <w:tc>
          <w:tcPr>
            <w:tcW w:type="dxa" w:w="2340"/>
          </w:tcPr>
          <w:p>
            <w:pPr>
              <w:jc w:val="center"/>
            </w:pPr>
            <w:r>
              <w:rPr>
                <w:rFonts w:ascii="Times New Roman" w:hAnsi="Times New Roman"/>
                <w:sz w:val="22"/>
              </w:rPr>
              <w:t>Overconfident classification from superficial cues</w:t>
            </w:r>
          </w:p>
        </w:tc>
        <w:tc>
          <w:tcPr>
            <w:tcW w:type="dxa" w:w="2340"/>
          </w:tcPr>
          <w:p>
            <w:pPr>
              <w:jc w:val="center"/>
            </w:pPr>
            <w:r>
              <w:rPr>
                <w:rFonts w:ascii="Times New Roman" w:hAnsi="Times New Roman"/>
                <w:sz w:val="22"/>
              </w:rPr>
              <w:t>Ground responses in external evidence, not labels alone</w:t>
            </w:r>
          </w:p>
        </w:tc>
        <w:tc>
          <w:tcPr>
            <w:tcW w:type="dxa" w:w="2340"/>
          </w:tcPr>
          <w:p>
            <w:pPr>
              <w:jc w:val="center"/>
            </w:pPr>
            <w:r>
              <w:rPr>
                <w:rFonts w:ascii="Times New Roman" w:hAnsi="Times New Roman"/>
                <w:sz w:val="22"/>
              </w:rPr>
              <w:t>Trustworthiness, Reliability</w:t>
            </w:r>
          </w:p>
        </w:tc>
      </w:tr>
      <w:tr>
        <w:tc>
          <w:tcPr>
            <w:tcW w:type="dxa" w:w="2340"/>
          </w:tcPr>
          <w:p>
            <w:pPr>
              <w:jc w:val="left"/>
            </w:pPr>
            <w:r>
              <w:rPr>
                <w:rFonts w:ascii="Times New Roman" w:hAnsi="Times New Roman"/>
                <w:sz w:val="22"/>
              </w:rPr>
              <w:t>Cross-class symptom overlap</w:t>
            </w:r>
          </w:p>
        </w:tc>
        <w:tc>
          <w:tcPr>
            <w:tcW w:type="dxa" w:w="2340"/>
          </w:tcPr>
          <w:p>
            <w:pPr>
              <w:jc w:val="center"/>
            </w:pPr>
            <w:r>
              <w:rPr>
                <w:rFonts w:ascii="Times New Roman" w:hAnsi="Times New Roman"/>
                <w:sz w:val="22"/>
              </w:rPr>
              <w:t>Misclassification of comorbid posts</w:t>
            </w:r>
          </w:p>
        </w:tc>
        <w:tc>
          <w:tcPr>
            <w:tcW w:type="dxa" w:w="2340"/>
          </w:tcPr>
          <w:p>
            <w:pPr>
              <w:jc w:val="center"/>
            </w:pPr>
            <w:r>
              <w:rPr>
                <w:rFonts w:ascii="Times New Roman" w:hAnsi="Times New Roman"/>
                <w:sz w:val="22"/>
              </w:rPr>
              <w:t>Retrieve multi-source context for nuanced assessment</w:t>
            </w:r>
          </w:p>
        </w:tc>
        <w:tc>
          <w:tcPr>
            <w:tcW w:type="dxa" w:w="2340"/>
          </w:tcPr>
          <w:p>
            <w:pPr>
              <w:jc w:val="center"/>
            </w:pPr>
            <w:r>
              <w:rPr>
                <w:rFonts w:ascii="Times New Roman" w:hAnsi="Times New Roman"/>
                <w:sz w:val="22"/>
              </w:rPr>
              <w:t>Reliability</w:t>
            </w:r>
          </w:p>
        </w:tc>
      </w:tr>
      <w:tr>
        <w:tc>
          <w:tcPr>
            <w:tcW w:type="dxa" w:w="2340"/>
          </w:tcPr>
          <w:p>
            <w:pPr>
              <w:jc w:val="left"/>
            </w:pPr>
            <w:r>
              <w:rPr>
                <w:rFonts w:ascii="Times New Roman" w:hAnsi="Times New Roman"/>
                <w:sz w:val="22"/>
              </w:rPr>
              <w:t>Crisis language in SuicideWatch</w:t>
            </w:r>
          </w:p>
        </w:tc>
        <w:tc>
          <w:tcPr>
            <w:tcW w:type="dxa" w:w="2340"/>
          </w:tcPr>
          <w:p>
            <w:pPr>
              <w:jc w:val="center"/>
            </w:pPr>
            <w:r>
              <w:rPr>
                <w:rFonts w:ascii="Times New Roman" w:hAnsi="Times New Roman"/>
                <w:sz w:val="22"/>
              </w:rPr>
              <w:t>Unsafe or hallucinated advice</w:t>
            </w:r>
          </w:p>
        </w:tc>
        <w:tc>
          <w:tcPr>
            <w:tcW w:type="dxa" w:w="2340"/>
          </w:tcPr>
          <w:p>
            <w:pPr>
              <w:jc w:val="center"/>
            </w:pPr>
            <w:r>
              <w:rPr>
                <w:rFonts w:ascii="Times New Roman" w:hAnsi="Times New Roman"/>
                <w:sz w:val="22"/>
              </w:rPr>
              <w:t>Retrieve vetted crisis resources and signposting</w:t>
            </w:r>
          </w:p>
        </w:tc>
        <w:tc>
          <w:tcPr>
            <w:tcW w:type="dxa" w:w="2340"/>
          </w:tcPr>
          <w:p>
            <w:pPr>
              <w:jc w:val="center"/>
            </w:pPr>
            <w:r>
              <w:rPr>
                <w:rFonts w:ascii="Times New Roman" w:hAnsi="Times New Roman"/>
                <w:sz w:val="22"/>
              </w:rPr>
              <w:t>Trustworthiness</w:t>
            </w:r>
          </w:p>
        </w:tc>
      </w:tr>
      <w:tr>
        <w:tc>
          <w:tcPr>
            <w:tcW w:type="dxa" w:w="2340"/>
          </w:tcPr>
          <w:p>
            <w:pPr>
              <w:jc w:val="left"/>
            </w:pPr>
            <w:r>
              <w:rPr>
                <w:rFonts w:ascii="Times New Roman" w:hAnsi="Times New Roman"/>
                <w:sz w:val="22"/>
              </w:rPr>
              <w:t>Long narrative posts (6.32% &gt; 512 words)</w:t>
            </w:r>
          </w:p>
        </w:tc>
        <w:tc>
          <w:tcPr>
            <w:tcW w:type="dxa" w:w="2340"/>
          </w:tcPr>
          <w:p>
            <w:pPr>
              <w:jc w:val="center"/>
            </w:pPr>
            <w:r>
              <w:rPr>
                <w:rFonts w:ascii="Times New Roman" w:hAnsi="Times New Roman"/>
                <w:sz w:val="22"/>
              </w:rPr>
              <w:t>Opaque, unverifiable explanations</w:t>
            </w:r>
          </w:p>
        </w:tc>
        <w:tc>
          <w:tcPr>
            <w:tcW w:type="dxa" w:w="2340"/>
          </w:tcPr>
          <w:p>
            <w:pPr>
              <w:jc w:val="center"/>
            </w:pPr>
            <w:r>
              <w:rPr>
                <w:rFonts w:ascii="Times New Roman" w:hAnsi="Times New Roman"/>
                <w:sz w:val="22"/>
              </w:rPr>
              <w:t>Cite retrieved snippets as supporting evidence</w:t>
            </w:r>
          </w:p>
        </w:tc>
        <w:tc>
          <w:tcPr>
            <w:tcW w:type="dxa" w:w="2340"/>
          </w:tcPr>
          <w:p>
            <w:pPr>
              <w:jc w:val="center"/>
            </w:pPr>
            <w:r>
              <w:rPr>
                <w:rFonts w:ascii="Times New Roman" w:hAnsi="Times New Roman"/>
                <w:sz w:val="22"/>
              </w:rPr>
              <w:t>Explainability</w:t>
            </w:r>
          </w:p>
        </w:tc>
      </w:tr>
      <w:tr>
        <w:tc>
          <w:tcPr>
            <w:tcW w:type="dxa" w:w="2340"/>
          </w:tcPr>
          <w:p>
            <w:pPr>
              <w:jc w:val="left"/>
            </w:pPr>
            <w:r>
              <w:rPr>
                <w:rFonts w:ascii="Times New Roman" w:hAnsi="Times New Roman"/>
                <w:sz w:val="22"/>
              </w:rPr>
              <w:t>Moderate class imbalance (ratio 0.408)</w:t>
            </w:r>
          </w:p>
        </w:tc>
        <w:tc>
          <w:tcPr>
            <w:tcW w:type="dxa" w:w="2340"/>
          </w:tcPr>
          <w:p>
            <w:pPr>
              <w:jc w:val="center"/>
            </w:pPr>
            <w:r>
              <w:rPr>
                <w:rFonts w:ascii="Times New Roman" w:hAnsi="Times New Roman"/>
                <w:sz w:val="22"/>
              </w:rPr>
              <w:t>Biased performance toward majority class</w:t>
            </w:r>
          </w:p>
        </w:tc>
        <w:tc>
          <w:tcPr>
            <w:tcW w:type="dxa" w:w="2340"/>
          </w:tcPr>
          <w:p>
            <w:pPr>
              <w:jc w:val="center"/>
            </w:pPr>
            <w:r>
              <w:rPr>
                <w:rFonts w:ascii="Times New Roman" w:hAnsi="Times New Roman"/>
                <w:sz w:val="22"/>
              </w:rPr>
              <w:t>Consistent grounding regardless of class frequency</w:t>
            </w:r>
          </w:p>
        </w:tc>
        <w:tc>
          <w:tcPr>
            <w:tcW w:type="dxa" w:w="2340"/>
          </w:tcPr>
          <w:p>
            <w:pPr>
              <w:jc w:val="center"/>
            </w:pPr>
            <w:r>
              <w:rPr>
                <w:rFonts w:ascii="Times New Roman" w:hAnsi="Times New Roman"/>
                <w:sz w:val="22"/>
              </w:rPr>
              <w:t>Reliability</w:t>
            </w:r>
          </w:p>
        </w:tc>
      </w:tr>
    </w:tbl>
    <w:p/>
    <w:p>
      <w:pPr>
        <w:jc w:val="center"/>
      </w:pPr>
      <w:r>
        <w:rPr>
          <w:rFonts w:ascii="Times New Roman" w:hAnsi="Times New Roman"/>
          <w:b w:val="0"/>
          <w:i/>
          <w:sz w:val="24"/>
        </w:rPr>
        <w:t>Table 5: Mapping EDA findings to research constructs and RAG hypotheses.</w:t>
      </w:r>
    </w:p>
    <w:p>
      <w:pPr>
        <w:pStyle w:val="Heading2"/>
        <w:spacing w:before="240" w:after="120"/>
      </w:pPr>
      <w:r>
        <w:rPr>
          <w:rFonts w:ascii="Times New Roman" w:hAnsi="Times New Roman"/>
          <w:color w:val="000000"/>
        </w:rPr>
        <w:t>8.4 Evaluation Framework Derived from EDA</w:t>
      </w:r>
    </w:p>
    <w:p>
      <w:pPr>
        <w:jc w:val="both"/>
      </w:pPr>
      <w:r>
        <w:rPr>
          <w:rFonts w:ascii="Times New Roman" w:hAnsi="Times New Roman"/>
          <w:b w:val="0"/>
          <w:i w:val="0"/>
          <w:sz w:val="24"/>
        </w:rPr>
        <w:t>Based on EDA findings, the experimental chapter will compare LLM-only and LLM+RAG conditions using metrics aligned to each construct in the research question:</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2"/>
              </w:rPr>
              <w:t>Construct</w:t>
            </w:r>
          </w:p>
        </w:tc>
        <w:tc>
          <w:tcPr>
            <w:tcW w:type="dxa" w:w="3120"/>
          </w:tcPr>
          <w:p>
            <w:pPr>
              <w:jc w:val="center"/>
            </w:pPr>
            <w:r>
              <w:rPr>
                <w:rFonts w:ascii="Times New Roman" w:hAnsi="Times New Roman"/>
                <w:b/>
                <w:sz w:val="22"/>
              </w:rPr>
              <w:t>Metrics</w:t>
            </w:r>
          </w:p>
        </w:tc>
        <w:tc>
          <w:tcPr>
            <w:tcW w:type="dxa" w:w="3120"/>
          </w:tcPr>
          <w:p>
            <w:pPr>
              <w:jc w:val="center"/>
            </w:pPr>
            <w:r>
              <w:rPr>
                <w:rFonts w:ascii="Times New Roman" w:hAnsi="Times New Roman"/>
                <w:b/>
                <w:sz w:val="22"/>
              </w:rPr>
              <w:t>EDA Justification</w:t>
            </w:r>
          </w:p>
        </w:tc>
      </w:tr>
      <w:tr>
        <w:tc>
          <w:tcPr>
            <w:tcW w:type="dxa" w:w="3120"/>
          </w:tcPr>
          <w:p>
            <w:pPr>
              <w:jc w:val="left"/>
            </w:pPr>
            <w:r>
              <w:rPr>
                <w:rFonts w:ascii="Times New Roman" w:hAnsi="Times New Roman"/>
                <w:sz w:val="22"/>
              </w:rPr>
              <w:t>Trustworthiness</w:t>
            </w:r>
          </w:p>
        </w:tc>
        <w:tc>
          <w:tcPr>
            <w:tcW w:type="dxa" w:w="3120"/>
          </w:tcPr>
          <w:p>
            <w:pPr>
              <w:jc w:val="center"/>
            </w:pPr>
            <w:r>
              <w:rPr>
                <w:rFonts w:ascii="Times New Roman" w:hAnsi="Times New Roman"/>
                <w:sz w:val="22"/>
              </w:rPr>
              <w:t>Calibration (ECE), abstention rate on ambiguous/crisis text, human trust ratings</w:t>
            </w:r>
          </w:p>
        </w:tc>
        <w:tc>
          <w:tcPr>
            <w:tcW w:type="dxa" w:w="3120"/>
          </w:tcPr>
          <w:p>
            <w:pPr>
              <w:jc w:val="center"/>
            </w:pPr>
            <w:r>
              <w:rPr>
                <w:rFonts w:ascii="Times New Roman" w:hAnsi="Times New Roman"/>
                <w:sz w:val="22"/>
              </w:rPr>
              <w:t>Crisis language and label noise require uncertainty-aware behaviour</w:t>
            </w:r>
          </w:p>
        </w:tc>
      </w:tr>
      <w:tr>
        <w:tc>
          <w:tcPr>
            <w:tcW w:type="dxa" w:w="3120"/>
          </w:tcPr>
          <w:p>
            <w:pPr>
              <w:jc w:val="left"/>
            </w:pPr>
            <w:r>
              <w:rPr>
                <w:rFonts w:ascii="Times New Roman" w:hAnsi="Times New Roman"/>
                <w:sz w:val="22"/>
              </w:rPr>
              <w:t>Reliability</w:t>
            </w:r>
          </w:p>
        </w:tc>
        <w:tc>
          <w:tcPr>
            <w:tcW w:type="dxa" w:w="3120"/>
          </w:tcPr>
          <w:p>
            <w:pPr>
              <w:jc w:val="center"/>
            </w:pPr>
            <w:r>
              <w:rPr>
                <w:rFonts w:ascii="Times New Roman" w:hAnsi="Times New Roman"/>
                <w:sz w:val="22"/>
              </w:rPr>
              <w:t>Macro-F1, per-class recall, test-retest consistency</w:t>
            </w:r>
          </w:p>
        </w:tc>
        <w:tc>
          <w:tcPr>
            <w:tcW w:type="dxa" w:w="3120"/>
          </w:tcPr>
          <w:p>
            <w:pPr>
              <w:jc w:val="center"/>
            </w:pPr>
            <w:r>
              <w:rPr>
                <w:rFonts w:ascii="Times New Roman" w:hAnsi="Times New Roman"/>
                <w:sz w:val="22"/>
              </w:rPr>
              <w:t>Class imbalance demands macro-averaged reporting</w:t>
            </w:r>
          </w:p>
        </w:tc>
      </w:tr>
      <w:tr>
        <w:tc>
          <w:tcPr>
            <w:tcW w:type="dxa" w:w="3120"/>
          </w:tcPr>
          <w:p>
            <w:pPr>
              <w:jc w:val="left"/>
            </w:pPr>
            <w:r>
              <w:rPr>
                <w:rFonts w:ascii="Times New Roman" w:hAnsi="Times New Roman"/>
                <w:sz w:val="22"/>
              </w:rPr>
              <w:t>Explainability</w:t>
            </w:r>
          </w:p>
        </w:tc>
        <w:tc>
          <w:tcPr>
            <w:tcW w:type="dxa" w:w="3120"/>
          </w:tcPr>
          <w:p>
            <w:pPr>
              <w:jc w:val="center"/>
            </w:pPr>
            <w:r>
              <w:rPr>
                <w:rFonts w:ascii="Times New Roman" w:hAnsi="Times New Roman"/>
                <w:sz w:val="22"/>
              </w:rPr>
              <w:t>Source attribution rate, citation faithfulness, qualitative expert review</w:t>
            </w:r>
          </w:p>
        </w:tc>
        <w:tc>
          <w:tcPr>
            <w:tcW w:type="dxa" w:w="3120"/>
          </w:tcPr>
          <w:p>
            <w:pPr>
              <w:jc w:val="center"/>
            </w:pPr>
            <w:r>
              <w:rPr>
                <w:rFonts w:ascii="Times New Roman" w:hAnsi="Times New Roman"/>
                <w:sz w:val="22"/>
              </w:rPr>
              <w:t>Long narratives and ambiguous labels require traceable evidence</w:t>
            </w:r>
          </w:p>
        </w:tc>
      </w:tr>
    </w:tbl>
    <w:p/>
    <w:p>
      <w:pPr>
        <w:jc w:val="center"/>
      </w:pPr>
      <w:r>
        <w:rPr>
          <w:rFonts w:ascii="Times New Roman" w:hAnsi="Times New Roman"/>
          <w:b w:val="0"/>
          <w:i/>
          <w:sz w:val="24"/>
        </w:rPr>
        <w:t>Table 6: Evaluation metrics derived from EDA observations.</w:t>
      </w:r>
    </w:p>
    <w:p>
      <w:pPr>
        <w:pStyle w:val="Heading2"/>
        <w:spacing w:before="240" w:after="120"/>
      </w:pPr>
      <w:r>
        <w:rPr>
          <w:rFonts w:ascii="Times New Roman" w:hAnsi="Times New Roman"/>
          <w:color w:val="000000"/>
        </w:rPr>
        <w:t>8.5 Synthesis Statement</w:t>
      </w:r>
    </w:p>
    <w:p>
      <w:pPr>
        <w:jc w:val="both"/>
      </w:pPr>
      <w:r>
        <w:rPr>
          <w:rFonts w:ascii="Times New Roman" w:hAnsi="Times New Roman"/>
          <w:b w:val="0"/>
          <w:i w:val="0"/>
          <w:sz w:val="24"/>
        </w:rPr>
        <w:t>In summary, EDA demonstrates that SWMH is a valid and challenging benchmark whose label noise, class overlap, crisis-related content, and variable post length create conditions where standalone LLMs risk overconfident, weakly grounded assessments. This justifies empirical comparison with a RAG-enhanced system on trustworthiness, reliability, and explainability metrics. EDA establishes why the research question matters and how it will be answered; the experimental chapter will provide the answer itself.</w:t>
      </w:r>
    </w:p>
    <w:p>
      <w:pPr>
        <w:pStyle w:val="Heading1"/>
        <w:spacing w:before="240" w:after="120"/>
        <w:jc w:val="center"/>
      </w:pPr>
      <w:r>
        <w:rPr>
          <w:rFonts w:ascii="Times New Roman" w:hAnsi="Times New Roman"/>
          <w:color w:val="000000"/>
        </w:rPr>
        <w:t>9. Dataset Strengths, Weaknesses, and Suitability</w:t>
      </w:r>
    </w:p>
    <w:p>
      <w:pPr>
        <w:pStyle w:val="Heading2"/>
        <w:spacing w:before="240" w:after="120"/>
      </w:pPr>
      <w:r>
        <w:rPr>
          <w:rFonts w:ascii="Times New Roman" w:hAnsi="Times New Roman"/>
          <w:color w:val="000000"/>
        </w:rPr>
        <w:t>9.1 Strengths</w:t>
      </w:r>
    </w:p>
    <w:p>
      <w:pPr>
        <w:pStyle w:val="ListBullet"/>
        <w:spacing w:line="360" w:lineRule="auto"/>
      </w:pPr>
      <w:r>
        <w:rPr>
          <w:rFonts w:ascii="Times New Roman" w:hAnsi="Times New Roman"/>
          <w:sz w:val="24"/>
        </w:rPr>
        <w:t>Scale and diversity — sufficient samples per class for supervised learning and neural fine-tuning.</w:t>
      </w:r>
    </w:p>
    <w:p>
      <w:pPr>
        <w:pStyle w:val="ListBullet"/>
        <w:spacing w:line="360" w:lineRule="auto"/>
      </w:pPr>
      <w:r>
        <w:rPr>
          <w:rFonts w:ascii="Times New Roman" w:hAnsi="Times New Roman"/>
          <w:sz w:val="24"/>
        </w:rPr>
        <w:t>Ecological validity — language reflects how individuals naturally describe distress online.</w:t>
      </w:r>
    </w:p>
    <w:p>
      <w:pPr>
        <w:pStyle w:val="ListBullet"/>
        <w:spacing w:line="360" w:lineRule="auto"/>
      </w:pPr>
      <w:r>
        <w:rPr>
          <w:rFonts w:ascii="Times New Roman" w:hAnsi="Times New Roman"/>
          <w:sz w:val="24"/>
        </w:rPr>
        <w:t>Established benchmark — widely cited in mental-health NLP literature, enabling comparison with prior work.</w:t>
      </w:r>
    </w:p>
    <w:p>
      <w:pPr>
        <w:pStyle w:val="ListBullet"/>
        <w:spacing w:line="360" w:lineRule="auto"/>
      </w:pPr>
      <w:r>
        <w:rPr>
          <w:rFonts w:ascii="Times New Roman" w:hAnsi="Times New Roman"/>
          <w:sz w:val="24"/>
        </w:rPr>
        <w:t>Pre-defined splits — reproducible partitions support fair experimental comparison.</w:t>
      </w:r>
    </w:p>
    <w:p>
      <w:pPr>
        <w:pStyle w:val="Heading2"/>
        <w:spacing w:before="240" w:after="120"/>
      </w:pPr>
      <w:r>
        <w:rPr>
          <w:rFonts w:ascii="Times New Roman" w:hAnsi="Times New Roman"/>
          <w:color w:val="000000"/>
        </w:rPr>
        <w:t>9.2 Weaknesses</w:t>
      </w:r>
    </w:p>
    <w:p>
      <w:pPr>
        <w:pStyle w:val="ListBullet"/>
        <w:spacing w:line="360" w:lineRule="auto"/>
      </w:pPr>
      <w:r>
        <w:rPr>
          <w:rFonts w:ascii="Times New Roman" w:hAnsi="Times New Roman"/>
          <w:sz w:val="24"/>
        </w:rPr>
        <w:t>Label noise — subreddit membership is an imperfect proxy for clinical diagnosis.</w:t>
      </w:r>
    </w:p>
    <w:p>
      <w:pPr>
        <w:pStyle w:val="ListBullet"/>
        <w:spacing w:line="360" w:lineRule="auto"/>
      </w:pPr>
      <w:r>
        <w:rPr>
          <w:rFonts w:ascii="Times New Roman" w:hAnsi="Times New Roman"/>
          <w:sz w:val="24"/>
        </w:rPr>
        <w:t>Demographic bias — Reddit skews toward younger, English-speaking, tech-literate users.</w:t>
      </w:r>
    </w:p>
    <w:p>
      <w:pPr>
        <w:pStyle w:val="ListBullet"/>
        <w:spacing w:line="360" w:lineRule="auto"/>
      </w:pPr>
      <w:r>
        <w:rPr>
          <w:rFonts w:ascii="Times New Roman" w:hAnsi="Times New Roman"/>
          <w:sz w:val="24"/>
        </w:rPr>
        <w:t>Ethical sensitivity — posts may contain self-harm or crisis language requiring careful handling.</w:t>
      </w:r>
    </w:p>
    <w:p>
      <w:pPr>
        <w:pStyle w:val="ListBullet"/>
        <w:spacing w:line="360" w:lineRule="auto"/>
      </w:pPr>
      <w:r>
        <w:rPr>
          <w:rFonts w:ascii="Times New Roman" w:hAnsi="Times New Roman"/>
          <w:sz w:val="24"/>
        </w:rPr>
        <w:t>Temporal drift — Reddit discourse evolves; static snapshots may degrade over time.</w:t>
      </w:r>
    </w:p>
    <w:p>
      <w:pPr>
        <w:pStyle w:val="Heading2"/>
        <w:spacing w:before="240" w:after="120"/>
      </w:pPr>
      <w:r>
        <w:rPr>
          <w:rFonts w:ascii="Times New Roman" w:hAnsi="Times New Roman"/>
          <w:color w:val="000000"/>
        </w:rPr>
        <w:t>9.3 Suitability for TrustMind AI</w:t>
      </w:r>
    </w:p>
    <w:p>
      <w:pPr>
        <w:jc w:val="both"/>
      </w:pPr>
      <w:r>
        <w:rPr>
          <w:rFonts w:ascii="Times New Roman" w:hAnsi="Times New Roman"/>
          <w:b w:val="0"/>
          <w:i w:val="0"/>
          <w:sz w:val="24"/>
        </w:rPr>
        <w:t>SWMH provides a rigorous testbed because it requires models to distinguish fine-grained emotional contexts, exposes models to ambiguous and overlapping language mirroring real user check-ins, and supports evaluation of safety-critical behaviours such as abstention on crisis-related text. SWMH will serve as the primary benchmark throughout the experimental evaluation chapter.</w:t>
      </w:r>
    </w:p>
    <w:p>
      <w:pPr>
        <w:pStyle w:val="Heading1"/>
        <w:spacing w:before="240" w:after="120"/>
        <w:jc w:val="center"/>
      </w:pPr>
      <w:r>
        <w:rPr>
          <w:rFonts w:ascii="Times New Roman" w:hAnsi="Times New Roman"/>
          <w:color w:val="000000"/>
        </w:rPr>
        <w:t>10. Conclusion and Next Steps</w:t>
      </w:r>
    </w:p>
    <w:p>
      <w:pPr>
        <w:jc w:val="both"/>
      </w:pPr>
      <w:r>
        <w:rPr>
          <w:rFonts w:ascii="Times New Roman" w:hAnsi="Times New Roman"/>
          <w:b w:val="0"/>
          <w:i w:val="0"/>
          <w:sz w:val="24"/>
        </w:rPr>
        <w:t>This exploratory data analysis confirms that the SWMH dataset is structurally sound, moderately imbalanced, and rich in the linguistic complexity that makes mental-health NLP both valuable and challenging. The corpus contains no missing data, minimal duplicates, and sufficient per-class samples for multi-class evaluation. Text lengths are predominantly moderate but include a meaningful tail of long narratives requiring truncation. Qualitative inspection reveals label noise, cross-class overlap, and crisis content that collectively motivate retrieval-grounded, abstention-aware, and explainable AI systems.</w:t>
      </w:r>
    </w:p>
    <w:p>
      <w:pPr>
        <w:jc w:val="both"/>
      </w:pPr>
      <w:r>
        <w:rPr>
          <w:rFonts w:ascii="Times New Roman" w:hAnsi="Times New Roman"/>
          <w:b w:val="0"/>
          <w:i w:val="0"/>
          <w:sz w:val="24"/>
        </w:rPr>
        <w:t>EDA supports the dissertation research question indirectly by revealing why standalone LLMs may be insufficient for trustworthy wellbeing assessment, and directly by establishing the benchmark, splits, preprocessing plan, and evaluation metrics needed for a fair LLM-only versus LLM+RAG comparison. The following steps will answer the research question empirically:</w:t>
      </w:r>
    </w:p>
    <w:p>
      <w:pPr>
        <w:pStyle w:val="ListBullet"/>
        <w:spacing w:line="360" w:lineRule="auto"/>
      </w:pPr>
      <w:r>
        <w:rPr>
          <w:rFonts w:ascii="Times New Roman" w:hAnsi="Times New Roman"/>
          <w:sz w:val="24"/>
        </w:rPr>
        <w:t>Curate a RAG corpus from UWE wellbeing resources, NHS guidance, and ethics policy documents.</w:t>
      </w:r>
    </w:p>
    <w:p>
      <w:pPr>
        <w:pStyle w:val="ListBullet"/>
        <w:spacing w:line="360" w:lineRule="auto"/>
      </w:pPr>
      <w:r>
        <w:rPr>
          <w:rFonts w:ascii="Times New Roman" w:hAnsi="Times New Roman"/>
          <w:sz w:val="24"/>
        </w:rPr>
        <w:t>Implement and evaluate an LLM-only baseline on the SWMH test split.</w:t>
      </w:r>
    </w:p>
    <w:p>
      <w:pPr>
        <w:pStyle w:val="ListBullet"/>
        <w:spacing w:line="360" w:lineRule="auto"/>
      </w:pPr>
      <w:r>
        <w:rPr>
          <w:rFonts w:ascii="Times New Roman" w:hAnsi="Times New Roman"/>
          <w:sz w:val="24"/>
        </w:rPr>
        <w:t>Implement and evaluate an LLM+RAG system with identical base model and preprocessing.</w:t>
      </w:r>
    </w:p>
    <w:p>
      <w:pPr>
        <w:pStyle w:val="ListBullet"/>
        <w:spacing w:line="360" w:lineRule="auto"/>
      </w:pPr>
      <w:r>
        <w:rPr>
          <w:rFonts w:ascii="Times New Roman" w:hAnsi="Times New Roman"/>
          <w:sz w:val="24"/>
        </w:rPr>
        <w:t>Report comparative metrics for trustworthiness, reliability, and explainability.</w:t>
      </w:r>
    </w:p>
    <w:p>
      <w:pPr>
        <w:pStyle w:val="ListBullet"/>
        <w:spacing w:line="360" w:lineRule="auto"/>
      </w:pPr>
      <w:r>
        <w:rPr>
          <w:rFonts w:ascii="Times New Roman" w:hAnsi="Times New Roman"/>
          <w:sz w:val="24"/>
        </w:rPr>
        <w:t>Discuss findings with reference to EDA limitations and ethical constraints.</w:t>
      </w:r>
    </w:p>
    <w:p/>
    <w:p>
      <w:pPr>
        <w:jc w:val="center"/>
      </w:pPr>
      <w:r>
        <w:rPr>
          <w:rFonts w:ascii="Times New Roman" w:hAnsi="Times New Roman"/>
          <w:b w:val="0"/>
          <w:i w:val="0"/>
          <w:sz w:val="24"/>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