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A02" w:rsidRPr="00BA7D5D" w:rsidRDefault="00745A02" w:rsidP="00BA7D5D">
      <w:pPr>
        <w:rPr>
          <w:b/>
          <w:sz w:val="32"/>
          <w:szCs w:val="32"/>
        </w:rPr>
      </w:pPr>
      <w:r w:rsidRPr="00BA7D5D">
        <w:rPr>
          <w:b/>
          <w:sz w:val="32"/>
          <w:szCs w:val="32"/>
        </w:rPr>
        <w:t xml:space="preserve">Chapter 7 </w:t>
      </w:r>
    </w:p>
    <w:p w:rsidR="00745A02" w:rsidRPr="00745A02" w:rsidRDefault="00745A02" w:rsidP="00745A02">
      <w:pPr>
        <w:pStyle w:val="ListParagraph"/>
        <w:ind w:left="360"/>
        <w:rPr>
          <w:b/>
          <w:sz w:val="32"/>
          <w:szCs w:val="32"/>
        </w:rPr>
      </w:pPr>
    </w:p>
    <w:p w:rsidR="00745A02" w:rsidRDefault="00745A02" w:rsidP="00745A02">
      <w:pPr>
        <w:pStyle w:val="ListParagraph"/>
        <w:ind w:left="360"/>
        <w:jc w:val="center"/>
        <w:rPr>
          <w:b/>
          <w:sz w:val="36"/>
          <w:szCs w:val="36"/>
        </w:rPr>
      </w:pPr>
      <w:r w:rsidRPr="00745A02">
        <w:rPr>
          <w:b/>
          <w:sz w:val="36"/>
          <w:szCs w:val="36"/>
        </w:rPr>
        <w:t>Experimental Analysis and Results</w:t>
      </w:r>
    </w:p>
    <w:p w:rsidR="00745A02" w:rsidRPr="00745A02" w:rsidRDefault="00745A02" w:rsidP="00745A02">
      <w:pPr>
        <w:pStyle w:val="ListParagraph"/>
        <w:ind w:left="360"/>
        <w:jc w:val="center"/>
        <w:rPr>
          <w:b/>
          <w:sz w:val="36"/>
          <w:szCs w:val="36"/>
        </w:rPr>
      </w:pP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</w:pPr>
      <w:r w:rsidRPr="004B5727">
        <w:t>In th</w:t>
      </w:r>
      <w:r w:rsidR="00094117">
        <w:t xml:space="preserve">is chapter, the performance, </w:t>
      </w:r>
      <w:r w:rsidRPr="004B5727">
        <w:t xml:space="preserve">experimental analysis of the algorithm implemented in the </w:t>
      </w:r>
      <w:r>
        <w:t xml:space="preserve">project </w:t>
      </w:r>
      <w:r w:rsidRPr="004B5727">
        <w:t>and the results obtained are presented.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</w:pPr>
    </w:p>
    <w:p w:rsidR="00745A02" w:rsidRP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</w:rPr>
      </w:pPr>
      <w:r w:rsidRPr="00745A02">
        <w:rPr>
          <w:b/>
          <w:sz w:val="32"/>
          <w:szCs w:val="32"/>
        </w:rPr>
        <w:t>7.1 Evaluation Metric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</w:pPr>
      <w:r>
        <w:t>The algorithm implemented is evaluated for the following three metrics</w:t>
      </w:r>
    </w:p>
    <w:p w:rsidR="00745A02" w:rsidRDefault="00745A02" w:rsidP="00745A0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</w:pPr>
      <w:r>
        <w:t>Accuracy</w:t>
      </w:r>
    </w:p>
    <w:p w:rsidR="00745A02" w:rsidRDefault="00745A02" w:rsidP="00745A0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</w:pPr>
      <w:r>
        <w:t>Precision</w:t>
      </w:r>
    </w:p>
    <w:p w:rsidR="00745A02" w:rsidRDefault="00745A02" w:rsidP="00745A0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</w:pPr>
      <w:r>
        <w:t>Recall</w:t>
      </w:r>
    </w:p>
    <w:p w:rsidR="00745A02" w:rsidRDefault="00745A02" w:rsidP="00745A0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</w:pPr>
      <w:r>
        <w:t>F measure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</w:pPr>
      <w:r w:rsidRPr="00BD586B">
        <w:rPr>
          <w:b/>
        </w:rPr>
        <w:t>Accuracy:</w:t>
      </w:r>
      <w:r>
        <w:t xml:space="preserve"> Accuracy or </w:t>
      </w:r>
      <w:r w:rsidRPr="004B5727">
        <w:t>Accuracy rate (or percent correct),</w:t>
      </w:r>
      <w:r>
        <w:t xml:space="preserve"> is</w:t>
      </w:r>
      <w:r w:rsidRPr="004B5727">
        <w:t xml:space="preserve"> </w:t>
      </w:r>
      <w:proofErr w:type="spellStart"/>
      <w:r w:rsidRPr="004B5727">
        <w:t>deﬁned</w:t>
      </w:r>
      <w:proofErr w:type="spellEnd"/>
      <w:r w:rsidRPr="004B5727">
        <w:t xml:space="preserve"> as the number </w:t>
      </w:r>
      <w:r>
        <w:t xml:space="preserve">of correct cases divided by the </w:t>
      </w:r>
      <w:r w:rsidRPr="004B5727">
        <w:t>total number of cases</w:t>
      </w:r>
      <w:r>
        <w:t>.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 w:rsidRPr="00BD586B">
        <w:rPr>
          <w:b/>
        </w:rPr>
        <w:t>Precision:</w:t>
      </w:r>
      <w:r w:rsidRPr="00BD586B">
        <w:t xml:space="preserve"> </w:t>
      </w:r>
      <w:r w:rsidRPr="00BD586B">
        <w:rPr>
          <w:bCs/>
          <w:color w:val="000000"/>
          <w:shd w:val="clear" w:color="auto" w:fill="FFFFFF"/>
        </w:rPr>
        <w:t>Precision</w:t>
      </w:r>
      <w:r w:rsidRPr="00BD586B">
        <w:rPr>
          <w:rStyle w:val="apple-converted-space"/>
          <w:color w:val="000000"/>
          <w:shd w:val="clear" w:color="auto" w:fill="FFFFFF"/>
        </w:rPr>
        <w:t> </w:t>
      </w:r>
      <w:r w:rsidRPr="00BD586B">
        <w:rPr>
          <w:color w:val="000000"/>
          <w:shd w:val="clear" w:color="auto" w:fill="FFFFFF"/>
        </w:rPr>
        <w:t>(also called</w:t>
      </w:r>
      <w:r w:rsidRPr="00BD586B">
        <w:rPr>
          <w:rStyle w:val="apple-converted-space"/>
          <w:color w:val="000000"/>
          <w:shd w:val="clear" w:color="auto" w:fill="FFFFFF"/>
        </w:rPr>
        <w:t> </w:t>
      </w:r>
      <w:r w:rsidRPr="00BD586B">
        <w:rPr>
          <w:shd w:val="clear" w:color="auto" w:fill="FFFFFF"/>
        </w:rPr>
        <w:t>positive predictive value</w:t>
      </w:r>
      <w:r w:rsidRPr="00BD586B">
        <w:rPr>
          <w:color w:val="000000"/>
          <w:shd w:val="clear" w:color="auto" w:fill="FFFFFF"/>
        </w:rPr>
        <w:t>) is the fraction of retrieved instances that are relevant</w:t>
      </w:r>
      <w:r>
        <w:rPr>
          <w:color w:val="000000"/>
          <w:shd w:val="clear" w:color="auto" w:fill="FFFFFF"/>
        </w:rPr>
        <w:t xml:space="preserve"> or it is the percentage of selected items that are correct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 w:rsidRPr="00BD586B">
        <w:rPr>
          <w:b/>
          <w:color w:val="000000"/>
          <w:shd w:val="clear" w:color="auto" w:fill="FFFFFF"/>
        </w:rPr>
        <w:t xml:space="preserve">Recall: </w:t>
      </w:r>
      <w:r w:rsidRPr="00BD586B">
        <w:rPr>
          <w:bCs/>
          <w:color w:val="000000"/>
          <w:shd w:val="clear" w:color="auto" w:fill="FFFFFF"/>
        </w:rPr>
        <w:t>Recall</w:t>
      </w:r>
      <w:r w:rsidRPr="00BD586B">
        <w:rPr>
          <w:rStyle w:val="apple-converted-space"/>
          <w:color w:val="000000"/>
          <w:shd w:val="clear" w:color="auto" w:fill="FFFFFF"/>
        </w:rPr>
        <w:t> </w:t>
      </w:r>
      <w:r w:rsidRPr="00BD586B">
        <w:rPr>
          <w:color w:val="000000"/>
          <w:shd w:val="clear" w:color="auto" w:fill="FFFFFF"/>
        </w:rPr>
        <w:t>(also known as</w:t>
      </w:r>
      <w:r w:rsidRPr="00BD586B">
        <w:rPr>
          <w:rStyle w:val="apple-converted-space"/>
          <w:color w:val="000000"/>
          <w:shd w:val="clear" w:color="auto" w:fill="FFFFFF"/>
        </w:rPr>
        <w:t> </w:t>
      </w:r>
      <w:r w:rsidRPr="00BD586B">
        <w:rPr>
          <w:shd w:val="clear" w:color="auto" w:fill="FFFFFF"/>
        </w:rPr>
        <w:t>sensitivity</w:t>
      </w:r>
      <w:r w:rsidRPr="00BD586B">
        <w:rPr>
          <w:color w:val="000000"/>
          <w:shd w:val="clear" w:color="auto" w:fill="FFFFFF"/>
        </w:rPr>
        <w:t>) is the fraction of relevant instances that are retrieved</w:t>
      </w:r>
      <w:r>
        <w:rPr>
          <w:color w:val="000000"/>
          <w:shd w:val="clear" w:color="auto" w:fill="FFFFFF"/>
        </w:rPr>
        <w:t xml:space="preserve"> or it is the percentage of correct items that are selected.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F Measure: </w:t>
      </w:r>
      <w:r w:rsidR="00565B2C">
        <w:rPr>
          <w:color w:val="000000"/>
          <w:shd w:val="clear" w:color="auto" w:fill="FFFFFF"/>
        </w:rPr>
        <w:t>A metric</w:t>
      </w:r>
      <w:r w:rsidRPr="00BD586B">
        <w:rPr>
          <w:color w:val="000000"/>
          <w:shd w:val="clear" w:color="auto" w:fill="FFFFFF"/>
        </w:rPr>
        <w:t xml:space="preserve"> that combines precision and recall</w:t>
      </w:r>
      <w:r w:rsidR="00565B2C">
        <w:rPr>
          <w:color w:val="000000"/>
          <w:shd w:val="clear" w:color="auto" w:fill="FFFFFF"/>
        </w:rPr>
        <w:t xml:space="preserve"> metrics</w:t>
      </w:r>
      <w:r>
        <w:rPr>
          <w:color w:val="000000"/>
          <w:shd w:val="clear" w:color="auto" w:fill="FFFFFF"/>
        </w:rPr>
        <w:t>, it is the weighted harmonic mean or can be considered as a combined measure that assesses the precision recall trade off.</w:t>
      </w:r>
    </w:p>
    <w:p w:rsidR="00515323" w:rsidRDefault="00515323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515323" w:rsidRDefault="00515323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515323" w:rsidRDefault="00515323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515323" w:rsidRDefault="00515323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515323" w:rsidRDefault="00515323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515323" w:rsidRDefault="00515323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515323" w:rsidRDefault="00515323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515323" w:rsidRDefault="00515323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515323" w:rsidRDefault="00515323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515323" w:rsidRDefault="00515323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515323" w:rsidRDefault="00515323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Let us consider a 2-by2 </w:t>
      </w:r>
      <w:r w:rsidR="00BC314E">
        <w:rPr>
          <w:color w:val="000000"/>
          <w:shd w:val="clear" w:color="auto" w:fill="FFFFFF"/>
        </w:rPr>
        <w:t>contingency table 7.1 show the analysis.</w:t>
      </w:r>
    </w:p>
    <w:p w:rsidR="00745A02" w:rsidRDefault="00BC314E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</w:p>
    <w:p w:rsidR="00BC314E" w:rsidRPr="00BC314E" w:rsidRDefault="00BC314E" w:rsidP="00745A02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Pr="00BC314E">
        <w:rPr>
          <w:b/>
          <w:color w:val="000000"/>
          <w:shd w:val="clear" w:color="auto" w:fill="FFFFFF"/>
        </w:rPr>
        <w:t>Table 7.1</w:t>
      </w:r>
      <w:r>
        <w:rPr>
          <w:b/>
          <w:color w:val="000000"/>
          <w:shd w:val="clear" w:color="auto" w:fill="FFFFFF"/>
        </w:rPr>
        <w:t>-Predicted class</w:t>
      </w:r>
    </w:p>
    <w:tbl>
      <w:tblPr>
        <w:tblStyle w:val="TableGrid"/>
        <w:tblW w:w="0" w:type="auto"/>
        <w:tblInd w:w="948" w:type="dxa"/>
        <w:tblLook w:val="04A0"/>
      </w:tblPr>
      <w:tblGrid>
        <w:gridCol w:w="1730"/>
        <w:gridCol w:w="1702"/>
        <w:gridCol w:w="2609"/>
      </w:tblGrid>
      <w:tr w:rsidR="00745A02" w:rsidRPr="008760C3" w:rsidTr="00BC314E">
        <w:tc>
          <w:tcPr>
            <w:tcW w:w="0" w:type="auto"/>
            <w:hideMark/>
          </w:tcPr>
          <w:p w:rsidR="00745A02" w:rsidRPr="002169F5" w:rsidRDefault="00745A02" w:rsidP="00AC0A99">
            <w:pPr>
              <w:spacing w:line="288" w:lineRule="atLeast"/>
              <w:jc w:val="center"/>
              <w:rPr>
                <w:b/>
                <w:bCs/>
                <w:color w:val="000000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hideMark/>
          </w:tcPr>
          <w:p w:rsidR="00745A02" w:rsidRPr="002169F5" w:rsidRDefault="00745A02" w:rsidP="00AC0A99">
            <w:pPr>
              <w:spacing w:line="288" w:lineRule="atLeast"/>
              <w:jc w:val="center"/>
              <w:rPr>
                <w:b/>
                <w:bCs/>
                <w:color w:val="000000"/>
                <w:sz w:val="24"/>
                <w:szCs w:val="20"/>
                <w:lang w:eastAsia="en-IN"/>
              </w:rPr>
            </w:pPr>
            <w:r w:rsidRPr="002169F5">
              <w:rPr>
                <w:b/>
                <w:bCs/>
                <w:color w:val="000000"/>
                <w:sz w:val="24"/>
                <w:szCs w:val="20"/>
                <w:lang w:eastAsia="en-IN"/>
              </w:rPr>
              <w:t>actual class</w:t>
            </w:r>
            <w:r w:rsidRPr="002169F5">
              <w:rPr>
                <w:b/>
                <w:bCs/>
                <w:color w:val="000000"/>
                <w:sz w:val="24"/>
                <w:szCs w:val="20"/>
                <w:lang w:eastAsia="en-IN"/>
              </w:rPr>
              <w:br/>
              <w:t>(observation)</w:t>
            </w:r>
          </w:p>
        </w:tc>
      </w:tr>
      <w:tr w:rsidR="00745A02" w:rsidRPr="008760C3" w:rsidTr="00BC314E">
        <w:tc>
          <w:tcPr>
            <w:tcW w:w="0" w:type="auto"/>
            <w:hideMark/>
          </w:tcPr>
          <w:p w:rsidR="00745A02" w:rsidRPr="002169F5" w:rsidRDefault="00745A02" w:rsidP="00EA0BD4">
            <w:pPr>
              <w:spacing w:line="288" w:lineRule="atLeast"/>
              <w:rPr>
                <w:b/>
                <w:bCs/>
                <w:color w:val="000000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745A02" w:rsidRPr="002169F5" w:rsidRDefault="00745A02" w:rsidP="00AC0A99">
            <w:pPr>
              <w:rPr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745A02" w:rsidRPr="002169F5" w:rsidRDefault="00745A02" w:rsidP="00AC0A99">
            <w:pPr>
              <w:rPr>
                <w:sz w:val="24"/>
                <w:szCs w:val="20"/>
                <w:lang w:eastAsia="en-IN"/>
              </w:rPr>
            </w:pPr>
          </w:p>
        </w:tc>
      </w:tr>
      <w:tr w:rsidR="00745A02" w:rsidRPr="008760C3" w:rsidTr="00BC314E">
        <w:tc>
          <w:tcPr>
            <w:tcW w:w="0" w:type="auto"/>
            <w:vMerge w:val="restart"/>
            <w:hideMark/>
          </w:tcPr>
          <w:p w:rsidR="00745A02" w:rsidRPr="002169F5" w:rsidRDefault="00745A02" w:rsidP="00AC0A99">
            <w:pPr>
              <w:spacing w:line="288" w:lineRule="atLeast"/>
              <w:jc w:val="center"/>
              <w:rPr>
                <w:b/>
                <w:bCs/>
                <w:color w:val="000000"/>
                <w:sz w:val="24"/>
                <w:szCs w:val="20"/>
                <w:lang w:eastAsia="en-IN"/>
              </w:rPr>
            </w:pPr>
            <w:r w:rsidRPr="002169F5">
              <w:rPr>
                <w:b/>
                <w:bCs/>
                <w:color w:val="000000"/>
                <w:sz w:val="24"/>
                <w:szCs w:val="20"/>
                <w:lang w:eastAsia="en-IN"/>
              </w:rPr>
              <w:t>predicted class</w:t>
            </w:r>
            <w:r w:rsidRPr="002169F5">
              <w:rPr>
                <w:b/>
                <w:bCs/>
                <w:color w:val="000000"/>
                <w:sz w:val="24"/>
                <w:szCs w:val="20"/>
                <w:lang w:eastAsia="en-IN"/>
              </w:rPr>
              <w:br/>
              <w:t>(expectation)</w:t>
            </w:r>
          </w:p>
        </w:tc>
        <w:tc>
          <w:tcPr>
            <w:tcW w:w="0" w:type="auto"/>
            <w:hideMark/>
          </w:tcPr>
          <w:p w:rsidR="00745A02" w:rsidRPr="002169F5" w:rsidRDefault="00745A02" w:rsidP="00AC0A99">
            <w:pPr>
              <w:spacing w:line="288" w:lineRule="atLeast"/>
              <w:jc w:val="center"/>
              <w:rPr>
                <w:color w:val="000000"/>
                <w:sz w:val="24"/>
                <w:szCs w:val="20"/>
                <w:lang w:eastAsia="en-IN"/>
              </w:rPr>
            </w:pPr>
            <w:proofErr w:type="spellStart"/>
            <w:r w:rsidRPr="002169F5">
              <w:rPr>
                <w:b/>
                <w:bCs/>
                <w:color w:val="000000"/>
                <w:sz w:val="24"/>
                <w:szCs w:val="20"/>
                <w:lang w:eastAsia="en-IN"/>
              </w:rPr>
              <w:t>tp</w:t>
            </w:r>
            <w:proofErr w:type="spellEnd"/>
            <w:r w:rsidRPr="002169F5">
              <w:rPr>
                <w:color w:val="000000"/>
                <w:sz w:val="24"/>
                <w:szCs w:val="20"/>
                <w:lang w:eastAsia="en-IN"/>
              </w:rPr>
              <w:br/>
              <w:t>(true positive)</w:t>
            </w:r>
            <w:r w:rsidRPr="002169F5">
              <w:rPr>
                <w:color w:val="000000"/>
                <w:sz w:val="24"/>
                <w:szCs w:val="20"/>
                <w:lang w:eastAsia="en-IN"/>
              </w:rPr>
              <w:br/>
              <w:t>Correct result</w:t>
            </w:r>
          </w:p>
        </w:tc>
        <w:tc>
          <w:tcPr>
            <w:tcW w:w="0" w:type="auto"/>
            <w:hideMark/>
          </w:tcPr>
          <w:p w:rsidR="00745A02" w:rsidRPr="002169F5" w:rsidRDefault="00745A02" w:rsidP="00AC0A99">
            <w:pPr>
              <w:spacing w:line="288" w:lineRule="atLeast"/>
              <w:jc w:val="center"/>
              <w:rPr>
                <w:color w:val="000000"/>
                <w:sz w:val="24"/>
                <w:szCs w:val="20"/>
                <w:lang w:eastAsia="en-IN"/>
              </w:rPr>
            </w:pPr>
            <w:proofErr w:type="spellStart"/>
            <w:r w:rsidRPr="002169F5">
              <w:rPr>
                <w:b/>
                <w:bCs/>
                <w:color w:val="000000"/>
                <w:sz w:val="24"/>
                <w:szCs w:val="20"/>
                <w:lang w:eastAsia="en-IN"/>
              </w:rPr>
              <w:t>fp</w:t>
            </w:r>
            <w:proofErr w:type="spellEnd"/>
            <w:r w:rsidRPr="002169F5">
              <w:rPr>
                <w:color w:val="000000"/>
                <w:sz w:val="24"/>
                <w:szCs w:val="20"/>
                <w:lang w:eastAsia="en-IN"/>
              </w:rPr>
              <w:br/>
              <w:t>(false positive)</w:t>
            </w:r>
            <w:r w:rsidRPr="002169F5">
              <w:rPr>
                <w:color w:val="000000"/>
                <w:sz w:val="24"/>
                <w:szCs w:val="20"/>
                <w:lang w:eastAsia="en-IN"/>
              </w:rPr>
              <w:br/>
              <w:t>Unexpected result</w:t>
            </w:r>
          </w:p>
        </w:tc>
      </w:tr>
      <w:tr w:rsidR="00745A02" w:rsidRPr="008760C3" w:rsidTr="00BC314E">
        <w:tc>
          <w:tcPr>
            <w:tcW w:w="0" w:type="auto"/>
            <w:vMerge/>
            <w:hideMark/>
          </w:tcPr>
          <w:p w:rsidR="00745A02" w:rsidRPr="002169F5" w:rsidRDefault="00745A02" w:rsidP="00AC0A99">
            <w:pPr>
              <w:rPr>
                <w:b/>
                <w:bCs/>
                <w:color w:val="000000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:rsidR="00745A02" w:rsidRPr="002169F5" w:rsidRDefault="00745A02" w:rsidP="00AC0A99">
            <w:pPr>
              <w:spacing w:line="288" w:lineRule="atLeast"/>
              <w:jc w:val="center"/>
              <w:rPr>
                <w:color w:val="000000"/>
                <w:sz w:val="24"/>
                <w:szCs w:val="20"/>
                <w:lang w:eastAsia="en-IN"/>
              </w:rPr>
            </w:pPr>
            <w:r w:rsidRPr="002169F5">
              <w:rPr>
                <w:b/>
                <w:bCs/>
                <w:color w:val="000000"/>
                <w:sz w:val="24"/>
                <w:szCs w:val="20"/>
                <w:lang w:eastAsia="en-IN"/>
              </w:rPr>
              <w:t>fn</w:t>
            </w:r>
            <w:r w:rsidRPr="002169F5">
              <w:rPr>
                <w:color w:val="000000"/>
                <w:sz w:val="24"/>
                <w:szCs w:val="20"/>
                <w:lang w:eastAsia="en-IN"/>
              </w:rPr>
              <w:br/>
              <w:t>(false negative)</w:t>
            </w:r>
            <w:r w:rsidRPr="002169F5">
              <w:rPr>
                <w:color w:val="000000"/>
                <w:sz w:val="24"/>
                <w:szCs w:val="20"/>
                <w:lang w:eastAsia="en-IN"/>
              </w:rPr>
              <w:br/>
              <w:t>Missing result</w:t>
            </w:r>
          </w:p>
        </w:tc>
        <w:tc>
          <w:tcPr>
            <w:tcW w:w="0" w:type="auto"/>
            <w:hideMark/>
          </w:tcPr>
          <w:p w:rsidR="00745A02" w:rsidRPr="002169F5" w:rsidRDefault="00745A02" w:rsidP="00AC0A99">
            <w:pPr>
              <w:spacing w:line="288" w:lineRule="atLeast"/>
              <w:jc w:val="center"/>
              <w:rPr>
                <w:color w:val="000000"/>
                <w:sz w:val="24"/>
                <w:szCs w:val="20"/>
                <w:lang w:eastAsia="en-IN"/>
              </w:rPr>
            </w:pPr>
            <w:proofErr w:type="spellStart"/>
            <w:r w:rsidRPr="002169F5">
              <w:rPr>
                <w:b/>
                <w:bCs/>
                <w:color w:val="000000"/>
                <w:sz w:val="24"/>
                <w:szCs w:val="20"/>
                <w:lang w:eastAsia="en-IN"/>
              </w:rPr>
              <w:t>tn</w:t>
            </w:r>
            <w:proofErr w:type="spellEnd"/>
            <w:r w:rsidRPr="002169F5">
              <w:rPr>
                <w:color w:val="000000"/>
                <w:sz w:val="24"/>
                <w:szCs w:val="20"/>
                <w:lang w:eastAsia="en-IN"/>
              </w:rPr>
              <w:br/>
              <w:t>(true negative)</w:t>
            </w:r>
            <w:r w:rsidRPr="002169F5">
              <w:rPr>
                <w:color w:val="000000"/>
                <w:sz w:val="24"/>
                <w:szCs w:val="20"/>
                <w:lang w:eastAsia="en-IN"/>
              </w:rPr>
              <w:br/>
              <w:t>Correct absence of result</w:t>
            </w:r>
          </w:p>
        </w:tc>
      </w:tr>
    </w:tbl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Using the above table we can calculate the above mentioned measures</w:t>
      </w:r>
      <w:r w:rsidR="009F0EDD">
        <w:rPr>
          <w:color w:val="000000"/>
          <w:shd w:val="clear" w:color="auto" w:fill="FFFFFF"/>
        </w:rPr>
        <w:t xml:space="preserve"> by using the </w:t>
      </w:r>
      <w:r>
        <w:rPr>
          <w:color w:val="000000"/>
          <w:shd w:val="clear" w:color="auto" w:fill="FFFFFF"/>
        </w:rPr>
        <w:t>formulas</w:t>
      </w:r>
      <w:r w:rsidR="009F0EDD">
        <w:rPr>
          <w:color w:val="000000"/>
          <w:shd w:val="clear" w:color="auto" w:fill="FFFFFF"/>
        </w:rPr>
        <w:t xml:space="preserve"> discussed below</w:t>
      </w:r>
      <w:r>
        <w:rPr>
          <w:color w:val="000000"/>
          <w:shd w:val="clear" w:color="auto" w:fill="FFFFFF"/>
        </w:rPr>
        <w:t>.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Accuracy = (</w:t>
      </w:r>
      <w:proofErr w:type="spellStart"/>
      <w:r>
        <w:rPr>
          <w:color w:val="000000"/>
          <w:shd w:val="clear" w:color="auto" w:fill="FFFFFF"/>
        </w:rPr>
        <w:t>tp</w:t>
      </w:r>
      <w:proofErr w:type="spellEnd"/>
      <w:r>
        <w:rPr>
          <w:color w:val="000000"/>
          <w:shd w:val="clear" w:color="auto" w:fill="FFFFFF"/>
        </w:rPr>
        <w:t xml:space="preserve"> + </w:t>
      </w:r>
      <w:proofErr w:type="spellStart"/>
      <w:proofErr w:type="gramStart"/>
      <w:r>
        <w:rPr>
          <w:color w:val="000000"/>
          <w:shd w:val="clear" w:color="auto" w:fill="FFFFFF"/>
        </w:rPr>
        <w:t>tn</w:t>
      </w:r>
      <w:proofErr w:type="spellEnd"/>
      <w:proofErr w:type="gramEnd"/>
      <w:r>
        <w:rPr>
          <w:color w:val="000000"/>
          <w:shd w:val="clear" w:color="auto" w:fill="FFFFFF"/>
        </w:rPr>
        <w:t>) / (</w:t>
      </w:r>
      <w:proofErr w:type="spellStart"/>
      <w:r>
        <w:rPr>
          <w:color w:val="000000"/>
          <w:shd w:val="clear" w:color="auto" w:fill="FFFFFF"/>
        </w:rPr>
        <w:t>tp</w:t>
      </w:r>
      <w:proofErr w:type="spellEnd"/>
      <w:r>
        <w:rPr>
          <w:color w:val="000000"/>
          <w:shd w:val="clear" w:color="auto" w:fill="FFFFFF"/>
        </w:rPr>
        <w:t xml:space="preserve"> + </w:t>
      </w:r>
      <w:proofErr w:type="spellStart"/>
      <w:r>
        <w:rPr>
          <w:color w:val="000000"/>
          <w:shd w:val="clear" w:color="auto" w:fill="FFFFFF"/>
        </w:rPr>
        <w:t>fp</w:t>
      </w:r>
      <w:proofErr w:type="spellEnd"/>
      <w:r>
        <w:rPr>
          <w:color w:val="000000"/>
          <w:shd w:val="clear" w:color="auto" w:fill="FFFFFF"/>
        </w:rPr>
        <w:t xml:space="preserve"> + fn + </w:t>
      </w:r>
      <w:proofErr w:type="spellStart"/>
      <w:r>
        <w:rPr>
          <w:color w:val="000000"/>
          <w:shd w:val="clear" w:color="auto" w:fill="FFFFFF"/>
        </w:rPr>
        <w:t>tn</w:t>
      </w:r>
      <w:proofErr w:type="spellEnd"/>
      <w:r>
        <w:rPr>
          <w:color w:val="000000"/>
          <w:shd w:val="clear" w:color="auto" w:fill="FFFFFF"/>
        </w:rPr>
        <w:t>)</w:t>
      </w:r>
    </w:p>
    <w:p w:rsidR="002314C2" w:rsidRDefault="002314C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Precision = </w:t>
      </w:r>
      <w:proofErr w:type="spellStart"/>
      <w:r>
        <w:rPr>
          <w:color w:val="000000"/>
          <w:shd w:val="clear" w:color="auto" w:fill="FFFFFF"/>
        </w:rPr>
        <w:t>tp</w:t>
      </w:r>
      <w:proofErr w:type="spellEnd"/>
      <w:r>
        <w:rPr>
          <w:color w:val="000000"/>
          <w:shd w:val="clear" w:color="auto" w:fill="FFFFFF"/>
        </w:rPr>
        <w:t xml:space="preserve"> / (</w:t>
      </w:r>
      <w:proofErr w:type="spellStart"/>
      <w:r>
        <w:rPr>
          <w:color w:val="000000"/>
          <w:shd w:val="clear" w:color="auto" w:fill="FFFFFF"/>
        </w:rPr>
        <w:t>tp</w:t>
      </w:r>
      <w:proofErr w:type="spellEnd"/>
      <w:r>
        <w:rPr>
          <w:color w:val="000000"/>
          <w:shd w:val="clear" w:color="auto" w:fill="FFFFFF"/>
        </w:rPr>
        <w:t xml:space="preserve"> + </w:t>
      </w:r>
      <w:proofErr w:type="spellStart"/>
      <w:r>
        <w:rPr>
          <w:color w:val="000000"/>
          <w:shd w:val="clear" w:color="auto" w:fill="FFFFFF"/>
        </w:rPr>
        <w:t>fp</w:t>
      </w:r>
      <w:proofErr w:type="spellEnd"/>
      <w:r>
        <w:rPr>
          <w:color w:val="000000"/>
          <w:shd w:val="clear" w:color="auto" w:fill="FFFFFF"/>
        </w:rPr>
        <w:t>)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Recall = </w:t>
      </w:r>
      <w:proofErr w:type="spellStart"/>
      <w:r>
        <w:rPr>
          <w:color w:val="000000"/>
          <w:shd w:val="clear" w:color="auto" w:fill="FFFFFF"/>
        </w:rPr>
        <w:t>tp</w:t>
      </w:r>
      <w:proofErr w:type="spellEnd"/>
      <w:r>
        <w:rPr>
          <w:color w:val="000000"/>
          <w:shd w:val="clear" w:color="auto" w:fill="FFFFFF"/>
        </w:rPr>
        <w:t xml:space="preserve"> / (</w:t>
      </w:r>
      <w:proofErr w:type="spellStart"/>
      <w:r>
        <w:rPr>
          <w:color w:val="000000"/>
          <w:shd w:val="clear" w:color="auto" w:fill="FFFFFF"/>
        </w:rPr>
        <w:t>tp</w:t>
      </w:r>
      <w:proofErr w:type="spellEnd"/>
      <w:r>
        <w:rPr>
          <w:color w:val="000000"/>
          <w:shd w:val="clear" w:color="auto" w:fill="FFFFFF"/>
        </w:rPr>
        <w:t xml:space="preserve"> + </w:t>
      </w:r>
      <w:proofErr w:type="gramStart"/>
      <w:r>
        <w:rPr>
          <w:color w:val="000000"/>
          <w:shd w:val="clear" w:color="auto" w:fill="FFFFFF"/>
        </w:rPr>
        <w:t>fn</w:t>
      </w:r>
      <w:proofErr w:type="gramEnd"/>
      <w:r>
        <w:rPr>
          <w:color w:val="000000"/>
          <w:shd w:val="clear" w:color="auto" w:fill="FFFFFF"/>
        </w:rPr>
        <w:t>)</w:t>
      </w:r>
    </w:p>
    <w:p w:rsidR="00745A02" w:rsidRDefault="008D040C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 w:rsidRPr="008D040C">
        <w:rPr>
          <w:noProof/>
          <w:color w:val="000000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7" type="#_x0000_t75" style="position:absolute;left:0;text-align:left;margin-left:-6.75pt;margin-top:7.95pt;width:207.9pt;height:57.75pt;z-index:251660288">
            <v:imagedata r:id="rId7" o:title=""/>
            <v:shadow color="black" opacity="49150f" offset=".74831mm,.74831mm"/>
          </v:shape>
          <o:OLEObject Type="Embed" ProgID="Equation.3" ShapeID="_x0000_s1157" DrawAspect="Content" ObjectID="_1430742883" r:id="rId8"/>
        </w:pict>
      </w:r>
      <w:r w:rsidR="00745A02">
        <w:rPr>
          <w:color w:val="000000"/>
          <w:shd w:val="clear" w:color="auto" w:fill="FFFFFF"/>
        </w:rPr>
        <w:t xml:space="preserve">                                                                       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 the above formula P is precision, R is recall and α is factor that controls the </w:t>
      </w:r>
      <w:proofErr w:type="spellStart"/>
      <w:r>
        <w:rPr>
          <w:color w:val="000000"/>
          <w:shd w:val="clear" w:color="auto" w:fill="FFFFFF"/>
        </w:rPr>
        <w:t>trade off</w:t>
      </w:r>
      <w:proofErr w:type="spellEnd"/>
      <w:r>
        <w:rPr>
          <w:color w:val="000000"/>
          <w:shd w:val="clear" w:color="auto" w:fill="FFFFFF"/>
        </w:rPr>
        <w:t xml:space="preserve"> between precision and recall (0 =&lt; α &lt;= 1).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If we substitute for α = 0.5 (β = 1) we get the F</w:t>
      </w:r>
      <w:r>
        <w:rPr>
          <w:color w:val="000000"/>
          <w:shd w:val="clear" w:color="auto" w:fill="FFFFFF"/>
          <w:vertAlign w:val="subscript"/>
        </w:rPr>
        <w:t>1</w:t>
      </w:r>
      <w:r>
        <w:rPr>
          <w:color w:val="000000"/>
          <w:shd w:val="clear" w:color="auto" w:fill="FFFFFF"/>
        </w:rPr>
        <w:t xml:space="preserve"> measure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</w:t>
      </w:r>
      <w:r>
        <w:rPr>
          <w:color w:val="000000"/>
          <w:shd w:val="clear" w:color="auto" w:fill="FFFFFF"/>
          <w:vertAlign w:val="subscript"/>
        </w:rPr>
        <w:t>1</w:t>
      </w:r>
      <w:r>
        <w:rPr>
          <w:color w:val="000000"/>
          <w:shd w:val="clear" w:color="auto" w:fill="FFFFFF"/>
        </w:rPr>
        <w:t xml:space="preserve"> =</w:t>
      </w:r>
      <w:r w:rsidRPr="00B1319C">
        <w:rPr>
          <w:color w:val="000000"/>
          <w:shd w:val="clear" w:color="auto" w:fill="FFFFFF"/>
        </w:rPr>
        <w:t xml:space="preserve"> 2</w:t>
      </w:r>
      <w:r>
        <w:rPr>
          <w:color w:val="000000"/>
          <w:shd w:val="clear" w:color="auto" w:fill="FFFFFF"/>
        </w:rPr>
        <w:t xml:space="preserve"> * </w:t>
      </w:r>
      <w:r w:rsidRPr="00B1319C">
        <w:rPr>
          <w:i/>
          <w:iCs/>
          <w:color w:val="000000"/>
          <w:shd w:val="clear" w:color="auto" w:fill="FFFFFF"/>
        </w:rPr>
        <w:t>P</w:t>
      </w:r>
      <w:r>
        <w:rPr>
          <w:i/>
          <w:iCs/>
          <w:color w:val="000000"/>
          <w:shd w:val="clear" w:color="auto" w:fill="FFFFFF"/>
        </w:rPr>
        <w:t xml:space="preserve"> * </w:t>
      </w:r>
      <w:r w:rsidRPr="00B1319C">
        <w:rPr>
          <w:i/>
          <w:iCs/>
          <w:color w:val="000000"/>
          <w:shd w:val="clear" w:color="auto" w:fill="FFFFFF"/>
        </w:rPr>
        <w:t>R</w:t>
      </w:r>
      <w:r>
        <w:rPr>
          <w:i/>
          <w:iCs/>
          <w:color w:val="000000"/>
          <w:shd w:val="clear" w:color="auto" w:fill="FFFFFF"/>
        </w:rPr>
        <w:t xml:space="preserve"> </w:t>
      </w:r>
      <w:r w:rsidRPr="00B1319C">
        <w:rPr>
          <w:color w:val="000000"/>
          <w:shd w:val="clear" w:color="auto" w:fill="FFFFFF"/>
        </w:rPr>
        <w:t>/</w:t>
      </w:r>
      <w:r>
        <w:rPr>
          <w:color w:val="000000"/>
          <w:shd w:val="clear" w:color="auto" w:fill="FFFFFF"/>
        </w:rPr>
        <w:t xml:space="preserve"> </w:t>
      </w:r>
      <w:r w:rsidRPr="00B1319C">
        <w:rPr>
          <w:color w:val="000000"/>
          <w:shd w:val="clear" w:color="auto" w:fill="FFFFFF"/>
        </w:rPr>
        <w:t>(</w:t>
      </w:r>
      <w:r w:rsidRPr="00B1319C">
        <w:rPr>
          <w:i/>
          <w:iCs/>
          <w:color w:val="000000"/>
          <w:shd w:val="clear" w:color="auto" w:fill="FFFFFF"/>
        </w:rPr>
        <w:t>P</w:t>
      </w:r>
      <w:r>
        <w:rPr>
          <w:i/>
          <w:iCs/>
          <w:color w:val="000000"/>
          <w:shd w:val="clear" w:color="auto" w:fill="FFFFFF"/>
        </w:rPr>
        <w:t xml:space="preserve"> </w:t>
      </w:r>
      <w:r w:rsidRPr="00B1319C">
        <w:rPr>
          <w:color w:val="000000"/>
          <w:shd w:val="clear" w:color="auto" w:fill="FFFFFF"/>
        </w:rPr>
        <w:t>+</w:t>
      </w:r>
      <w:r>
        <w:rPr>
          <w:color w:val="000000"/>
          <w:shd w:val="clear" w:color="auto" w:fill="FFFFFF"/>
        </w:rPr>
        <w:t xml:space="preserve"> </w:t>
      </w:r>
      <w:r w:rsidRPr="00B1319C">
        <w:rPr>
          <w:i/>
          <w:iCs/>
          <w:color w:val="000000"/>
          <w:shd w:val="clear" w:color="auto" w:fill="FFFFFF"/>
        </w:rPr>
        <w:t>R</w:t>
      </w:r>
      <w:r w:rsidRPr="00B1319C">
        <w:rPr>
          <w:color w:val="000000"/>
          <w:shd w:val="clear" w:color="auto" w:fill="FFFFFF"/>
        </w:rPr>
        <w:t>)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color w:val="000000"/>
          <w:shd w:val="clear" w:color="auto" w:fill="FFFFFF"/>
        </w:rPr>
      </w:pP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B1319C">
        <w:rPr>
          <w:b/>
          <w:sz w:val="32"/>
          <w:szCs w:val="32"/>
        </w:rPr>
        <w:t>7.2 Performance Analysis</w:t>
      </w:r>
      <w:r w:rsidRPr="00B1319C">
        <w:rPr>
          <w:b/>
          <w:color w:val="000000"/>
          <w:sz w:val="32"/>
          <w:szCs w:val="32"/>
          <w:shd w:val="clear" w:color="auto" w:fill="FFFFFF"/>
        </w:rPr>
        <w:t xml:space="preserve">         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</w:pPr>
      <w:r>
        <w:t xml:space="preserve">To compute the performance of the Naïve </w:t>
      </w:r>
      <w:proofErr w:type="spellStart"/>
      <w:r>
        <w:t>Bayes</w:t>
      </w:r>
      <w:proofErr w:type="spellEnd"/>
      <w:r>
        <w:t xml:space="preserve"> algorithm implemented </w:t>
      </w:r>
      <w:r w:rsidR="00227BA2">
        <w:t>the test data is extracted from the training data.</w:t>
      </w:r>
    </w:p>
    <w:p w:rsidR="00745A02" w:rsidRDefault="00745A02" w:rsidP="00745A02">
      <w:pPr>
        <w:autoSpaceDE w:val="0"/>
        <w:autoSpaceDN w:val="0"/>
        <w:adjustRightInd w:val="0"/>
        <w:spacing w:line="360" w:lineRule="auto"/>
        <w:jc w:val="both"/>
      </w:pPr>
      <w:r>
        <w:t>30 tweets from each of the positive and negative training data</w:t>
      </w:r>
      <w:r w:rsidR="002D0628">
        <w:t xml:space="preserve"> and 10 tweets from neutral training data</w:t>
      </w:r>
      <w:r>
        <w:t xml:space="preserve"> was taken as the test data, he</w:t>
      </w:r>
      <w:r w:rsidR="002D0628">
        <w:t>nce the test data consisted of 7</w:t>
      </w:r>
      <w:r>
        <w:t>0 tweets.</w:t>
      </w:r>
    </w:p>
    <w:p w:rsidR="00745A02" w:rsidRDefault="00745A02" w:rsidP="002D0628">
      <w:pPr>
        <w:autoSpaceDE w:val="0"/>
        <w:autoSpaceDN w:val="0"/>
        <w:adjustRightInd w:val="0"/>
        <w:spacing w:line="360" w:lineRule="auto"/>
        <w:jc w:val="both"/>
      </w:pPr>
      <w:r>
        <w:lastRenderedPageBreak/>
        <w:t>The algorithm was implemented using test data as the inpu</w:t>
      </w:r>
      <w:r w:rsidR="00515323">
        <w:t>t</w:t>
      </w:r>
    </w:p>
    <w:p w:rsidR="006A2B3F" w:rsidRDefault="006A2B3F" w:rsidP="006A2B3F">
      <w:pPr>
        <w:autoSpaceDE w:val="0"/>
        <w:autoSpaceDN w:val="0"/>
        <w:adjustRightInd w:val="0"/>
        <w:spacing w:line="360" w:lineRule="auto"/>
        <w:jc w:val="both"/>
      </w:pPr>
      <w:r>
        <w:t>Now precision, recall and f measure is calculated as follows</w:t>
      </w:r>
    </w:p>
    <w:p w:rsidR="006A2B3F" w:rsidRDefault="006A2B3F" w:rsidP="006A2B3F">
      <w:pPr>
        <w:autoSpaceDE w:val="0"/>
        <w:autoSpaceDN w:val="0"/>
        <w:adjustRightInd w:val="0"/>
        <w:spacing w:line="360" w:lineRule="auto"/>
        <w:jc w:val="both"/>
      </w:pPr>
    </w:p>
    <w:p w:rsidR="006A2B3F" w:rsidRDefault="006A2B3F" w:rsidP="006A2B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</w:pPr>
      <w:r>
        <w:t>Case1: Compute precision, recall and F</w:t>
      </w:r>
      <w:r>
        <w:rPr>
          <w:vertAlign w:val="subscript"/>
        </w:rPr>
        <w:t>1</w:t>
      </w:r>
      <w:r>
        <w:t xml:space="preserve"> measure for positive test data by comparing the program prediction and the actual true result.</w:t>
      </w:r>
    </w:p>
    <w:p w:rsidR="006A2B3F" w:rsidRDefault="006A2B3F" w:rsidP="006A2B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</w:pPr>
      <w:r>
        <w:t>Case2: Compute precision, recall and F</w:t>
      </w:r>
      <w:r>
        <w:rPr>
          <w:vertAlign w:val="subscript"/>
        </w:rPr>
        <w:t>1</w:t>
      </w:r>
      <w:r>
        <w:t xml:space="preserve"> measure for negative test data by comparing the program prediction and the actual true result.</w:t>
      </w:r>
    </w:p>
    <w:p w:rsidR="006A2B3F" w:rsidRDefault="006A2B3F" w:rsidP="006A2B3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</w:pPr>
      <w:r>
        <w:t>Case3: Compute precision, recall and F</w:t>
      </w:r>
      <w:r>
        <w:rPr>
          <w:vertAlign w:val="subscript"/>
        </w:rPr>
        <w:t>1</w:t>
      </w:r>
      <w:r>
        <w:t xml:space="preserve"> measure for neutral test data by comparing the program prediction and the actual true result.</w:t>
      </w:r>
    </w:p>
    <w:p w:rsidR="00515323" w:rsidRPr="0082327D" w:rsidRDefault="00515323" w:rsidP="00515323">
      <w:pPr>
        <w:pStyle w:val="ListParagraph"/>
        <w:autoSpaceDE w:val="0"/>
        <w:autoSpaceDN w:val="0"/>
        <w:adjustRightInd w:val="0"/>
        <w:spacing w:line="360" w:lineRule="auto"/>
        <w:jc w:val="both"/>
      </w:pPr>
    </w:p>
    <w:p w:rsidR="006A2B3F" w:rsidRDefault="006A2B3F" w:rsidP="00745A02">
      <w:pPr>
        <w:autoSpaceDE w:val="0"/>
        <w:autoSpaceDN w:val="0"/>
        <w:adjustRightInd w:val="0"/>
        <w:spacing w:line="360" w:lineRule="auto"/>
        <w:jc w:val="both"/>
      </w:pPr>
      <w:r>
        <w:t>Table 7.2 and figure 7.1 explain the performance analysis of all the three cases.</w:t>
      </w:r>
    </w:p>
    <w:p w:rsidR="006A2B3F" w:rsidRDefault="006A2B3F" w:rsidP="00745A02">
      <w:pPr>
        <w:autoSpaceDE w:val="0"/>
        <w:autoSpaceDN w:val="0"/>
        <w:adjustRightInd w:val="0"/>
        <w:spacing w:line="360" w:lineRule="auto"/>
        <w:jc w:val="both"/>
      </w:pPr>
    </w:p>
    <w:p w:rsidR="00745A02" w:rsidRPr="00B1319C" w:rsidRDefault="006A2B3F" w:rsidP="00745A02">
      <w:pPr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>
        <w:rPr>
          <w:b/>
        </w:rPr>
        <w:t xml:space="preserve">                            Table 7.2 Performance Analysis Results</w:t>
      </w:r>
      <w:r w:rsidR="00745A02">
        <w:t xml:space="preserve">  </w:t>
      </w:r>
      <w:r w:rsidR="00745A02" w:rsidRPr="00B1319C">
        <w:rPr>
          <w:sz w:val="32"/>
          <w:szCs w:val="32"/>
        </w:rPr>
        <w:t xml:space="preserve">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108" w:type="dxa"/>
        <w:tblLook w:val="04A0"/>
      </w:tblPr>
      <w:tblGrid>
        <w:gridCol w:w="1652"/>
        <w:gridCol w:w="1779"/>
        <w:gridCol w:w="1546"/>
        <w:gridCol w:w="1673"/>
        <w:gridCol w:w="1572"/>
      </w:tblGrid>
      <w:tr w:rsidR="006A2B3F" w:rsidTr="006A2B3F">
        <w:tc>
          <w:tcPr>
            <w:tcW w:w="1652" w:type="dxa"/>
          </w:tcPr>
          <w:p w:rsidR="006A2B3F" w:rsidRP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A2B3F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779" w:type="dxa"/>
          </w:tcPr>
          <w:p w:rsidR="006A2B3F" w:rsidRP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A2B3F">
              <w:rPr>
                <w:b/>
                <w:sz w:val="24"/>
                <w:szCs w:val="24"/>
              </w:rPr>
              <w:t>Accuracy</w:t>
            </w:r>
          </w:p>
        </w:tc>
        <w:tc>
          <w:tcPr>
            <w:tcW w:w="1546" w:type="dxa"/>
          </w:tcPr>
          <w:p w:rsidR="006A2B3F" w:rsidRP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A2B3F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673" w:type="dxa"/>
          </w:tcPr>
          <w:p w:rsidR="006A2B3F" w:rsidRP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A2B3F">
              <w:rPr>
                <w:b/>
                <w:sz w:val="24"/>
                <w:szCs w:val="24"/>
              </w:rPr>
              <w:t>Recall</w:t>
            </w:r>
          </w:p>
        </w:tc>
        <w:tc>
          <w:tcPr>
            <w:tcW w:w="1572" w:type="dxa"/>
          </w:tcPr>
          <w:p w:rsidR="006A2B3F" w:rsidRP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A2B3F">
              <w:rPr>
                <w:b/>
                <w:sz w:val="24"/>
                <w:szCs w:val="24"/>
              </w:rPr>
              <w:t>F</w:t>
            </w:r>
            <w:r w:rsidRPr="006A2B3F">
              <w:rPr>
                <w:b/>
                <w:sz w:val="24"/>
                <w:szCs w:val="24"/>
                <w:vertAlign w:val="subscript"/>
              </w:rPr>
              <w:t>1</w:t>
            </w:r>
            <w:r w:rsidRPr="006A2B3F">
              <w:rPr>
                <w:b/>
                <w:sz w:val="24"/>
                <w:szCs w:val="24"/>
              </w:rPr>
              <w:t>-measure</w:t>
            </w:r>
          </w:p>
        </w:tc>
      </w:tr>
      <w:tr w:rsidR="006A2B3F" w:rsidTr="006A2B3F">
        <w:tc>
          <w:tcPr>
            <w:tcW w:w="1652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  <w:tc>
          <w:tcPr>
            <w:tcW w:w="1779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51.43%</w:t>
            </w:r>
          </w:p>
        </w:tc>
        <w:tc>
          <w:tcPr>
            <w:tcW w:w="1546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  <w:tc>
          <w:tcPr>
            <w:tcW w:w="1673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8.33%</w:t>
            </w:r>
          </w:p>
        </w:tc>
        <w:tc>
          <w:tcPr>
            <w:tcW w:w="1572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13.0394%</w:t>
            </w:r>
          </w:p>
        </w:tc>
      </w:tr>
      <w:tr w:rsidR="006A2B3F" w:rsidTr="006A2B3F">
        <w:tc>
          <w:tcPr>
            <w:tcW w:w="1652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</w:t>
            </w:r>
          </w:p>
        </w:tc>
        <w:tc>
          <w:tcPr>
            <w:tcW w:w="1779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48.57%</w:t>
            </w:r>
          </w:p>
        </w:tc>
        <w:tc>
          <w:tcPr>
            <w:tcW w:w="1546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44.44%</w:t>
            </w:r>
          </w:p>
        </w:tc>
        <w:tc>
          <w:tcPr>
            <w:tcW w:w="1673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70.59%</w:t>
            </w:r>
          </w:p>
        </w:tc>
        <w:tc>
          <w:tcPr>
            <w:tcW w:w="1572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54.5426%</w:t>
            </w:r>
          </w:p>
        </w:tc>
      </w:tr>
      <w:tr w:rsidR="006A2B3F" w:rsidTr="006A2B3F">
        <w:tc>
          <w:tcPr>
            <w:tcW w:w="1652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  <w:tc>
          <w:tcPr>
            <w:tcW w:w="1779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81.43%</w:t>
            </w:r>
          </w:p>
        </w:tc>
        <w:tc>
          <w:tcPr>
            <w:tcW w:w="1546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14.29%</w:t>
            </w:r>
          </w:p>
        </w:tc>
        <w:tc>
          <w:tcPr>
            <w:tcW w:w="1673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1.75%</w:t>
            </w:r>
          </w:p>
        </w:tc>
        <w:tc>
          <w:tcPr>
            <w:tcW w:w="1572" w:type="dxa"/>
          </w:tcPr>
          <w:p w:rsidR="006A2B3F" w:rsidRDefault="006A2B3F" w:rsidP="0060322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3.1181%</w:t>
            </w:r>
          </w:p>
        </w:tc>
      </w:tr>
    </w:tbl>
    <w:p w:rsidR="00440A19" w:rsidRDefault="00440A19" w:rsidP="00745A02"/>
    <w:p w:rsidR="006A2B3F" w:rsidRDefault="006A2B3F" w:rsidP="00745A02"/>
    <w:p w:rsidR="006A2B3F" w:rsidRDefault="006A2B3F" w:rsidP="00745A02"/>
    <w:p w:rsidR="006A2B3F" w:rsidRDefault="006A2B3F" w:rsidP="00745A02"/>
    <w:p w:rsidR="006A2B3F" w:rsidRDefault="006A2B3F" w:rsidP="00745A02">
      <w:r>
        <w:rPr>
          <w:noProof/>
          <w:lang w:val="en-IN" w:eastAsia="en-IN"/>
        </w:rPr>
        <w:drawing>
          <wp:inline distT="0" distB="0" distL="0" distR="0">
            <wp:extent cx="5276215" cy="2847067"/>
            <wp:effectExtent l="0" t="0" r="635" b="0"/>
            <wp:docPr id="2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A2B3F" w:rsidRDefault="006A2B3F" w:rsidP="00745A02">
      <w:pPr>
        <w:rPr>
          <w:b/>
        </w:rPr>
      </w:pPr>
      <w:r>
        <w:rPr>
          <w:b/>
        </w:rPr>
        <w:t xml:space="preserve">                                          </w:t>
      </w:r>
      <w:r w:rsidRPr="006A2B3F">
        <w:rPr>
          <w:b/>
        </w:rPr>
        <w:t>Figure 7.1 Performance Analysis</w:t>
      </w:r>
    </w:p>
    <w:p w:rsidR="00BE4494" w:rsidRDefault="00BE4494" w:rsidP="00745A02">
      <w:pPr>
        <w:rPr>
          <w:b/>
        </w:rPr>
      </w:pPr>
    </w:p>
    <w:p w:rsidR="00BE4494" w:rsidRDefault="00BE4494" w:rsidP="00BE4494">
      <w:pPr>
        <w:autoSpaceDE w:val="0"/>
        <w:autoSpaceDN w:val="0"/>
        <w:adjustRightInd w:val="0"/>
        <w:spacing w:line="360" w:lineRule="auto"/>
        <w:jc w:val="both"/>
      </w:pPr>
    </w:p>
    <w:p w:rsidR="00BE4494" w:rsidRPr="00D05E0E" w:rsidRDefault="00BE4494" w:rsidP="00BE4494">
      <w:pPr>
        <w:autoSpaceDE w:val="0"/>
        <w:autoSpaceDN w:val="0"/>
        <w:adjustRightInd w:val="0"/>
        <w:spacing w:line="360" w:lineRule="auto"/>
        <w:jc w:val="both"/>
      </w:pPr>
      <w:r>
        <w:lastRenderedPageBreak/>
        <w:t>The graph</w:t>
      </w:r>
      <w:r w:rsidR="00515323">
        <w:t xml:space="preserve"> 7.1</w:t>
      </w:r>
      <w:r>
        <w:t xml:space="preserve"> shows the precision, recall and F</w:t>
      </w:r>
      <w:r>
        <w:rPr>
          <w:vertAlign w:val="subscript"/>
        </w:rPr>
        <w:t>1</w:t>
      </w:r>
      <w:r>
        <w:t xml:space="preserve">-measure for the test set comprising of positive, negative and neutral tweets taken from the training set. The project implemented uses Naïve </w:t>
      </w:r>
      <w:proofErr w:type="spellStart"/>
      <w:r>
        <w:t>Bayes</w:t>
      </w:r>
      <w:proofErr w:type="spellEnd"/>
      <w:r>
        <w:t xml:space="preserve"> classifier for analyzing sentiments in </w:t>
      </w:r>
      <w:proofErr w:type="gramStart"/>
      <w:r>
        <w:t>tweets</w:t>
      </w:r>
      <w:r w:rsidR="00CB0437">
        <w:t>,</w:t>
      </w:r>
      <w:proofErr w:type="gramEnd"/>
      <w:r w:rsidR="00CB0437">
        <w:t xml:space="preserve"> however s</w:t>
      </w:r>
      <w:r>
        <w:t xml:space="preserve">entiment analysis of tweets has been carried out by using different algorithms and different training data sets. </w:t>
      </w:r>
      <w:r w:rsidR="00502547">
        <w:t>[17</w:t>
      </w:r>
      <w:r>
        <w:t xml:space="preserve">] </w:t>
      </w:r>
      <w:proofErr w:type="gramStart"/>
      <w:r>
        <w:t>uses</w:t>
      </w:r>
      <w:proofErr w:type="gramEnd"/>
      <w:r>
        <w:t xml:space="preserve"> Support Vector Machines for classifying the twitter data</w:t>
      </w:r>
      <w:r w:rsidR="00502547">
        <w:t xml:space="preserve">, the training corpus used is obtained from Stanford twitter sentiment </w:t>
      </w:r>
      <w:r w:rsidR="00CB0437">
        <w:t>data. T</w:t>
      </w:r>
      <w:r w:rsidR="00502547">
        <w:t xml:space="preserve">he accuracy </w:t>
      </w:r>
      <w:r w:rsidR="00CB0437">
        <w:t>claimed</w:t>
      </w:r>
      <w:r w:rsidR="00502547">
        <w:t xml:space="preserve"> is 75.39% if the tweets are classified as to belonging to one of the 2 classes (positive or negative class) and 60.83% if the tweets are classified as to belonging to one of the 3 classes (positive or negative or neutral class). [20] </w:t>
      </w:r>
      <w:proofErr w:type="gramStart"/>
      <w:r w:rsidR="00502547">
        <w:t>uses</w:t>
      </w:r>
      <w:proofErr w:type="gramEnd"/>
      <w:r w:rsidR="00502547">
        <w:t xml:space="preserve"> Support Vector Machines but is focused on a specifi</w:t>
      </w:r>
      <w:r w:rsidR="00CB0437">
        <w:t>c target, the training corpus used contains tweets specific to a particular subject {</w:t>
      </w:r>
      <w:r w:rsidR="00CB0437" w:rsidRPr="00CB0437">
        <w:rPr>
          <w:szCs w:val="22"/>
        </w:rPr>
        <w:t xml:space="preserve"> </w:t>
      </w:r>
      <w:r w:rsidR="00CB0437" w:rsidRPr="00B5525C">
        <w:rPr>
          <w:szCs w:val="22"/>
        </w:rPr>
        <w:t xml:space="preserve">Obama, Google, </w:t>
      </w:r>
      <w:proofErr w:type="spellStart"/>
      <w:r w:rsidR="00CB0437" w:rsidRPr="00B5525C">
        <w:rPr>
          <w:szCs w:val="22"/>
        </w:rPr>
        <w:t>iPad</w:t>
      </w:r>
      <w:proofErr w:type="spellEnd"/>
      <w:r w:rsidR="00CB0437" w:rsidRPr="00B5525C">
        <w:rPr>
          <w:szCs w:val="22"/>
        </w:rPr>
        <w:t>, Lakers, Lady Gaga}</w:t>
      </w:r>
      <w:r w:rsidR="00CB0437">
        <w:rPr>
          <w:szCs w:val="22"/>
        </w:rPr>
        <w:t xml:space="preserve">. </w:t>
      </w:r>
      <w:r w:rsidR="00CB0437">
        <w:t xml:space="preserve">The accuracy claimed is 85.6% if the tweets are classified as to belonging to one of the 2 classes (positive or negative class) and 68.3% if the tweets are classified as to belonging to one of the 3 classes (positive or negative or neutral class).  </w:t>
      </w:r>
      <w:r w:rsidRPr="00B1319C">
        <w:rPr>
          <w:sz w:val="32"/>
          <w:szCs w:val="32"/>
        </w:rPr>
        <w:t xml:space="preserve">                                                                   </w:t>
      </w:r>
    </w:p>
    <w:p w:rsidR="00BE4494" w:rsidRPr="006A2B3F" w:rsidRDefault="00BE4494" w:rsidP="00745A02">
      <w:pPr>
        <w:rPr>
          <w:b/>
        </w:rPr>
      </w:pPr>
    </w:p>
    <w:sectPr w:rsidR="00BE4494" w:rsidRPr="006A2B3F" w:rsidSect="00C074E6">
      <w:headerReference w:type="default" r:id="rId10"/>
      <w:footerReference w:type="default" r:id="rId11"/>
      <w:pgSz w:w="11909" w:h="16834" w:code="9"/>
      <w:pgMar w:top="1440" w:right="1440" w:bottom="1440" w:left="2160" w:header="720" w:footer="720" w:gutter="0"/>
      <w:pgNumType w:fmt="numberInDash" w:start="4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DEE" w:rsidRDefault="00015DEE" w:rsidP="0080007F">
      <w:r>
        <w:separator/>
      </w:r>
    </w:p>
  </w:endnote>
  <w:endnote w:type="continuationSeparator" w:id="0">
    <w:p w:rsidR="00015DEE" w:rsidRDefault="00015DEE" w:rsidP="00800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07F" w:rsidRPr="00BC681E" w:rsidRDefault="003C6346">
    <w:pPr>
      <w:pStyle w:val="Footer"/>
      <w:pBdr>
        <w:top w:val="thinThickSmallGap" w:sz="24" w:space="1" w:color="622423" w:themeColor="accent2" w:themeShade="7F"/>
      </w:pBdr>
      <w:rPr>
        <w:i/>
      </w:rPr>
    </w:pPr>
    <w:r>
      <w:rPr>
        <w:i/>
      </w:rPr>
      <w:t xml:space="preserve">Dept. of CSE, RVCE </w:t>
    </w:r>
    <w:r>
      <w:rPr>
        <w:i/>
      </w:rPr>
      <w:tab/>
      <w:t xml:space="preserve">                                2012-2013</w:t>
    </w:r>
    <w:r w:rsidR="000B12D6">
      <w:rPr>
        <w:i/>
      </w:rPr>
      <w:t xml:space="preserve">           </w:t>
    </w:r>
    <w:r w:rsidR="00072838">
      <w:rPr>
        <w:i/>
      </w:rPr>
      <w:t xml:space="preserve">                                  </w:t>
    </w:r>
    <w:r w:rsidR="008D040C" w:rsidRPr="00BC681E">
      <w:rPr>
        <w:i/>
      </w:rPr>
      <w:fldChar w:fldCharType="begin"/>
    </w:r>
    <w:r w:rsidR="000F2F87" w:rsidRPr="00BC681E">
      <w:rPr>
        <w:i/>
      </w:rPr>
      <w:instrText xml:space="preserve"> PAGE   \* MERGEFORMAT </w:instrText>
    </w:r>
    <w:r w:rsidR="008D040C" w:rsidRPr="00BC681E">
      <w:rPr>
        <w:i/>
      </w:rPr>
      <w:fldChar w:fldCharType="separate"/>
    </w:r>
    <w:r w:rsidR="00227BA2">
      <w:rPr>
        <w:i/>
        <w:noProof/>
      </w:rPr>
      <w:t>- 49 -</w:t>
    </w:r>
    <w:r w:rsidR="008D040C" w:rsidRPr="00BC681E">
      <w:rPr>
        <w:i/>
      </w:rPr>
      <w:fldChar w:fldCharType="end"/>
    </w:r>
  </w:p>
  <w:p w:rsidR="0080007F" w:rsidRDefault="008000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DEE" w:rsidRDefault="00015DEE" w:rsidP="0080007F">
      <w:r>
        <w:separator/>
      </w:r>
    </w:p>
  </w:footnote>
  <w:footnote w:type="continuationSeparator" w:id="0">
    <w:p w:rsidR="00015DEE" w:rsidRDefault="00015DEE" w:rsidP="008000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A02" w:rsidRPr="00441814" w:rsidRDefault="00745A02" w:rsidP="00745A02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i/>
      </w:rPr>
    </w:pPr>
    <w:r>
      <w:rPr>
        <w:rFonts w:eastAsiaTheme="majorEastAsia"/>
        <w:i/>
      </w:rPr>
      <w:t xml:space="preserve">Ex. Analysis and Results                </w:t>
    </w:r>
    <w:r w:rsidR="00C24AEE">
      <w:rPr>
        <w:rFonts w:eastAsiaTheme="majorEastAsia"/>
        <w:i/>
      </w:rPr>
      <w:t xml:space="preserve"> </w:t>
    </w:r>
    <w:r w:rsidRPr="00917127">
      <w:rPr>
        <w:rFonts w:eastAsiaTheme="majorEastAsia"/>
        <w:i/>
      </w:rPr>
      <w:t xml:space="preserve">Sentiment Analysis of </w:t>
    </w:r>
    <w:proofErr w:type="gramStart"/>
    <w:r w:rsidR="00C24AEE">
      <w:rPr>
        <w:rFonts w:eastAsiaTheme="majorEastAsia"/>
        <w:i/>
      </w:rPr>
      <w:t>Twitter  data</w:t>
    </w:r>
    <w:proofErr w:type="gramEnd"/>
    <w:r w:rsidR="00C24AEE">
      <w:rPr>
        <w:rFonts w:eastAsiaTheme="majorEastAsia"/>
        <w:i/>
      </w:rPr>
      <w:t xml:space="preserve"> </w:t>
    </w:r>
    <w:r>
      <w:rPr>
        <w:rFonts w:eastAsiaTheme="majorEastAsia"/>
        <w:i/>
      </w:rPr>
      <w:t xml:space="preserve">by Naïve </w:t>
    </w:r>
    <w:proofErr w:type="spellStart"/>
    <w:r>
      <w:rPr>
        <w:rFonts w:eastAsiaTheme="majorEastAsia"/>
        <w:i/>
      </w:rPr>
      <w:t>Bayes</w:t>
    </w:r>
    <w:proofErr w:type="spellEnd"/>
    <w:r>
      <w:rPr>
        <w:rFonts w:eastAsiaTheme="majorEastAsia"/>
        <w:i/>
      </w:rPr>
      <w:t xml:space="preserve"> </w:t>
    </w:r>
  </w:p>
  <w:p w:rsidR="00745A02" w:rsidRDefault="00745A02" w:rsidP="00745A02">
    <w:pPr>
      <w:pStyle w:val="Header"/>
    </w:pPr>
  </w:p>
  <w:p w:rsidR="0080007F" w:rsidRDefault="008000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7AE"/>
    <w:multiLevelType w:val="hybridMultilevel"/>
    <w:tmpl w:val="3C9219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13564"/>
    <w:multiLevelType w:val="hybridMultilevel"/>
    <w:tmpl w:val="05F4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B736E"/>
    <w:multiLevelType w:val="hybridMultilevel"/>
    <w:tmpl w:val="21A4D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66714"/>
    <w:multiLevelType w:val="hybridMultilevel"/>
    <w:tmpl w:val="757CA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B4517F"/>
    <w:multiLevelType w:val="hybridMultilevel"/>
    <w:tmpl w:val="55DC5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90B9C"/>
    <w:multiLevelType w:val="hybridMultilevel"/>
    <w:tmpl w:val="254EA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52097"/>
    <w:multiLevelType w:val="hybridMultilevel"/>
    <w:tmpl w:val="11A2C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A833ED"/>
    <w:multiLevelType w:val="hybridMultilevel"/>
    <w:tmpl w:val="A3CA0906"/>
    <w:lvl w:ilvl="0" w:tplc="B47EBC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944329"/>
    <w:multiLevelType w:val="hybridMultilevel"/>
    <w:tmpl w:val="6360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F662C"/>
    <w:multiLevelType w:val="hybridMultilevel"/>
    <w:tmpl w:val="F7BED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BA5C48"/>
    <w:multiLevelType w:val="hybridMultilevel"/>
    <w:tmpl w:val="FDB0E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F61F46"/>
    <w:multiLevelType w:val="hybridMultilevel"/>
    <w:tmpl w:val="E446F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B4017"/>
    <w:multiLevelType w:val="hybridMultilevel"/>
    <w:tmpl w:val="CD8C1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D7978"/>
    <w:multiLevelType w:val="hybridMultilevel"/>
    <w:tmpl w:val="86829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B662A8"/>
    <w:multiLevelType w:val="hybridMultilevel"/>
    <w:tmpl w:val="99FC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5C7009"/>
    <w:multiLevelType w:val="hybridMultilevel"/>
    <w:tmpl w:val="CB261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CE357C"/>
    <w:multiLevelType w:val="multilevel"/>
    <w:tmpl w:val="E47CF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9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20" w:hanging="96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41CB3BCF"/>
    <w:multiLevelType w:val="hybridMultilevel"/>
    <w:tmpl w:val="C8BA0CB4"/>
    <w:lvl w:ilvl="0" w:tplc="2750A9BA">
      <w:start w:val="1024"/>
      <w:numFmt w:val="decimal"/>
      <w:lvlText w:val="%1"/>
      <w:lvlJc w:val="left"/>
      <w:pPr>
        <w:ind w:left="2640" w:hanging="480"/>
      </w:pPr>
      <w:rPr>
        <w:rFonts w:eastAsia="Calibr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B5A7ECA"/>
    <w:multiLevelType w:val="hybridMultilevel"/>
    <w:tmpl w:val="D078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24413"/>
    <w:multiLevelType w:val="hybridMultilevel"/>
    <w:tmpl w:val="C08A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4078A"/>
    <w:multiLevelType w:val="hybridMultilevel"/>
    <w:tmpl w:val="78C2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D6B24"/>
    <w:multiLevelType w:val="hybridMultilevel"/>
    <w:tmpl w:val="09240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7F3DA9"/>
    <w:multiLevelType w:val="hybridMultilevel"/>
    <w:tmpl w:val="647AF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6375FA"/>
    <w:multiLevelType w:val="hybridMultilevel"/>
    <w:tmpl w:val="8D5A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51336D"/>
    <w:multiLevelType w:val="hybridMultilevel"/>
    <w:tmpl w:val="10C6B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D54F47"/>
    <w:multiLevelType w:val="hybridMultilevel"/>
    <w:tmpl w:val="C8A8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DF7D43"/>
    <w:multiLevelType w:val="multilevel"/>
    <w:tmpl w:val="8B82A5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24503B7"/>
    <w:multiLevelType w:val="multilevel"/>
    <w:tmpl w:val="B2C0D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77264546"/>
    <w:multiLevelType w:val="hybridMultilevel"/>
    <w:tmpl w:val="B90C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6"/>
  </w:num>
  <w:num w:numId="4">
    <w:abstractNumId w:val="22"/>
  </w:num>
  <w:num w:numId="5">
    <w:abstractNumId w:val="10"/>
  </w:num>
  <w:num w:numId="6">
    <w:abstractNumId w:val="3"/>
  </w:num>
  <w:num w:numId="7">
    <w:abstractNumId w:val="9"/>
  </w:num>
  <w:num w:numId="8">
    <w:abstractNumId w:val="28"/>
  </w:num>
  <w:num w:numId="9">
    <w:abstractNumId w:val="15"/>
  </w:num>
  <w:num w:numId="10">
    <w:abstractNumId w:val="8"/>
  </w:num>
  <w:num w:numId="11">
    <w:abstractNumId w:val="20"/>
  </w:num>
  <w:num w:numId="12">
    <w:abstractNumId w:val="24"/>
  </w:num>
  <w:num w:numId="13">
    <w:abstractNumId w:val="11"/>
  </w:num>
  <w:num w:numId="14">
    <w:abstractNumId w:val="1"/>
  </w:num>
  <w:num w:numId="15">
    <w:abstractNumId w:val="23"/>
  </w:num>
  <w:num w:numId="16">
    <w:abstractNumId w:val="7"/>
  </w:num>
  <w:num w:numId="17">
    <w:abstractNumId w:val="5"/>
  </w:num>
  <w:num w:numId="18">
    <w:abstractNumId w:val="14"/>
  </w:num>
  <w:num w:numId="19">
    <w:abstractNumId w:val="18"/>
  </w:num>
  <w:num w:numId="20">
    <w:abstractNumId w:val="19"/>
  </w:num>
  <w:num w:numId="21">
    <w:abstractNumId w:val="26"/>
  </w:num>
  <w:num w:numId="22">
    <w:abstractNumId w:val="25"/>
  </w:num>
  <w:num w:numId="23">
    <w:abstractNumId w:val="17"/>
  </w:num>
  <w:num w:numId="24">
    <w:abstractNumId w:val="16"/>
  </w:num>
  <w:num w:numId="25">
    <w:abstractNumId w:val="21"/>
  </w:num>
  <w:num w:numId="26">
    <w:abstractNumId w:val="2"/>
  </w:num>
  <w:num w:numId="27">
    <w:abstractNumId w:val="4"/>
  </w:num>
  <w:num w:numId="28">
    <w:abstractNumId w:val="13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80007F"/>
    <w:rsid w:val="0000779A"/>
    <w:rsid w:val="00015918"/>
    <w:rsid w:val="00015DEE"/>
    <w:rsid w:val="000369DC"/>
    <w:rsid w:val="00041411"/>
    <w:rsid w:val="0006399E"/>
    <w:rsid w:val="000659F9"/>
    <w:rsid w:val="00072838"/>
    <w:rsid w:val="00077AEA"/>
    <w:rsid w:val="000856B7"/>
    <w:rsid w:val="00086EE7"/>
    <w:rsid w:val="00094117"/>
    <w:rsid w:val="000B12D6"/>
    <w:rsid w:val="000C3D92"/>
    <w:rsid w:val="000C5154"/>
    <w:rsid w:val="000D5474"/>
    <w:rsid w:val="000F2F87"/>
    <w:rsid w:val="00124340"/>
    <w:rsid w:val="001249D8"/>
    <w:rsid w:val="00127C08"/>
    <w:rsid w:val="001322D4"/>
    <w:rsid w:val="00132DC5"/>
    <w:rsid w:val="00135209"/>
    <w:rsid w:val="00163653"/>
    <w:rsid w:val="00165AA7"/>
    <w:rsid w:val="0017720A"/>
    <w:rsid w:val="00191BAC"/>
    <w:rsid w:val="001949E0"/>
    <w:rsid w:val="001C3559"/>
    <w:rsid w:val="001C4ADE"/>
    <w:rsid w:val="001E06CC"/>
    <w:rsid w:val="001E461B"/>
    <w:rsid w:val="002169F5"/>
    <w:rsid w:val="002177CB"/>
    <w:rsid w:val="00227BA2"/>
    <w:rsid w:val="002314C2"/>
    <w:rsid w:val="00236FF7"/>
    <w:rsid w:val="00264BEB"/>
    <w:rsid w:val="002A2402"/>
    <w:rsid w:val="002B1548"/>
    <w:rsid w:val="002D0628"/>
    <w:rsid w:val="002D37C5"/>
    <w:rsid w:val="00313FA9"/>
    <w:rsid w:val="003662C8"/>
    <w:rsid w:val="003A7DD7"/>
    <w:rsid w:val="003B23C1"/>
    <w:rsid w:val="003C6346"/>
    <w:rsid w:val="003F2D69"/>
    <w:rsid w:val="00407812"/>
    <w:rsid w:val="00412240"/>
    <w:rsid w:val="00417460"/>
    <w:rsid w:val="00423178"/>
    <w:rsid w:val="00424A38"/>
    <w:rsid w:val="00440A19"/>
    <w:rsid w:val="0044437C"/>
    <w:rsid w:val="0048177A"/>
    <w:rsid w:val="004826B3"/>
    <w:rsid w:val="004863BC"/>
    <w:rsid w:val="00490AEE"/>
    <w:rsid w:val="004C0968"/>
    <w:rsid w:val="004C1AB5"/>
    <w:rsid w:val="004C39E8"/>
    <w:rsid w:val="00502547"/>
    <w:rsid w:val="00514660"/>
    <w:rsid w:val="00515323"/>
    <w:rsid w:val="00557323"/>
    <w:rsid w:val="00565B2C"/>
    <w:rsid w:val="00585EAE"/>
    <w:rsid w:val="005B30E2"/>
    <w:rsid w:val="005C2854"/>
    <w:rsid w:val="006166B7"/>
    <w:rsid w:val="00632D28"/>
    <w:rsid w:val="00643A5F"/>
    <w:rsid w:val="00665553"/>
    <w:rsid w:val="006A2B3F"/>
    <w:rsid w:val="00723099"/>
    <w:rsid w:val="00731B25"/>
    <w:rsid w:val="00745A02"/>
    <w:rsid w:val="0075009B"/>
    <w:rsid w:val="00753423"/>
    <w:rsid w:val="00775CDD"/>
    <w:rsid w:val="007B00CE"/>
    <w:rsid w:val="007B31E0"/>
    <w:rsid w:val="007D5427"/>
    <w:rsid w:val="007E41EB"/>
    <w:rsid w:val="0080007F"/>
    <w:rsid w:val="00816EE3"/>
    <w:rsid w:val="0082106C"/>
    <w:rsid w:val="00841F0B"/>
    <w:rsid w:val="0084580C"/>
    <w:rsid w:val="00845FD5"/>
    <w:rsid w:val="0085351A"/>
    <w:rsid w:val="0086235F"/>
    <w:rsid w:val="008851FD"/>
    <w:rsid w:val="00887021"/>
    <w:rsid w:val="008C4391"/>
    <w:rsid w:val="008D040C"/>
    <w:rsid w:val="008D34CB"/>
    <w:rsid w:val="008F24F2"/>
    <w:rsid w:val="00902FBA"/>
    <w:rsid w:val="00924CC0"/>
    <w:rsid w:val="009416B5"/>
    <w:rsid w:val="00961E71"/>
    <w:rsid w:val="009706E3"/>
    <w:rsid w:val="0098011E"/>
    <w:rsid w:val="009B3BFD"/>
    <w:rsid w:val="009D55FC"/>
    <w:rsid w:val="009F06A0"/>
    <w:rsid w:val="009F0EDD"/>
    <w:rsid w:val="00A265EB"/>
    <w:rsid w:val="00A45ADE"/>
    <w:rsid w:val="00A64FB7"/>
    <w:rsid w:val="00A7156F"/>
    <w:rsid w:val="00A874C9"/>
    <w:rsid w:val="00AB201B"/>
    <w:rsid w:val="00AB7E17"/>
    <w:rsid w:val="00B14E9F"/>
    <w:rsid w:val="00B242EF"/>
    <w:rsid w:val="00B45223"/>
    <w:rsid w:val="00B47202"/>
    <w:rsid w:val="00BA183A"/>
    <w:rsid w:val="00BA7D5D"/>
    <w:rsid w:val="00BB19C9"/>
    <w:rsid w:val="00BC314E"/>
    <w:rsid w:val="00BC681E"/>
    <w:rsid w:val="00BE4494"/>
    <w:rsid w:val="00BF31B3"/>
    <w:rsid w:val="00C010BC"/>
    <w:rsid w:val="00C06F54"/>
    <w:rsid w:val="00C074E6"/>
    <w:rsid w:val="00C16DFA"/>
    <w:rsid w:val="00C24AEE"/>
    <w:rsid w:val="00C4577D"/>
    <w:rsid w:val="00C734FD"/>
    <w:rsid w:val="00C7677C"/>
    <w:rsid w:val="00C81EB4"/>
    <w:rsid w:val="00C82F4E"/>
    <w:rsid w:val="00C86526"/>
    <w:rsid w:val="00CB0437"/>
    <w:rsid w:val="00CC787A"/>
    <w:rsid w:val="00D46F18"/>
    <w:rsid w:val="00D95CB6"/>
    <w:rsid w:val="00D97273"/>
    <w:rsid w:val="00DD1F86"/>
    <w:rsid w:val="00DF622B"/>
    <w:rsid w:val="00E06AE4"/>
    <w:rsid w:val="00E20140"/>
    <w:rsid w:val="00E34EFD"/>
    <w:rsid w:val="00E5374C"/>
    <w:rsid w:val="00E64690"/>
    <w:rsid w:val="00EA0BD4"/>
    <w:rsid w:val="00EC5B00"/>
    <w:rsid w:val="00EE43CB"/>
    <w:rsid w:val="00EF56BE"/>
    <w:rsid w:val="00F32399"/>
    <w:rsid w:val="00F362ED"/>
    <w:rsid w:val="00F43BAF"/>
    <w:rsid w:val="00F61661"/>
    <w:rsid w:val="00FD382A"/>
    <w:rsid w:val="00FE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0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A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7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0007F"/>
  </w:style>
  <w:style w:type="paragraph" w:styleId="NormalWeb">
    <w:name w:val="Normal (Web)"/>
    <w:basedOn w:val="Normal"/>
    <w:uiPriority w:val="99"/>
    <w:unhideWhenUsed/>
    <w:rsid w:val="0080007F"/>
    <w:pPr>
      <w:spacing w:before="100" w:beforeAutospacing="1" w:after="100" w:afterAutospacing="1"/>
    </w:pPr>
  </w:style>
  <w:style w:type="paragraph" w:customStyle="1" w:styleId="pj">
    <w:name w:val="pj"/>
    <w:basedOn w:val="Normal"/>
    <w:rsid w:val="0080007F"/>
    <w:pPr>
      <w:spacing w:before="100" w:beforeAutospacing="1" w:after="100" w:afterAutospacing="1"/>
    </w:pPr>
  </w:style>
  <w:style w:type="character" w:customStyle="1" w:styleId="nw">
    <w:name w:val="nw"/>
    <w:basedOn w:val="DefaultParagraphFont"/>
    <w:rsid w:val="0080007F"/>
  </w:style>
  <w:style w:type="paragraph" w:styleId="Header">
    <w:name w:val="header"/>
    <w:basedOn w:val="Normal"/>
    <w:link w:val="HeaderChar"/>
    <w:uiPriority w:val="99"/>
    <w:unhideWhenUsed/>
    <w:rsid w:val="008000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0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00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07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0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7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A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787A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CC787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C787A"/>
  </w:style>
  <w:style w:type="table" w:styleId="TableGrid">
    <w:name w:val="Table Grid"/>
    <w:basedOn w:val="TableNormal"/>
    <w:uiPriority w:val="59"/>
    <w:rsid w:val="00CC787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0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autoTitleDeleted val="1"/>
    <c:view3D>
      <c:hPercent val="61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0906040268456375"/>
          <c:y val="5.3627760252365916E-2"/>
          <c:w val="0.72315436241610764"/>
          <c:h val="0.81072555205047636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Positive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Sheet1!$B$1:$E$1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F1-measure</c:v>
                </c:pt>
              </c:strCache>
            </c:strRef>
          </c:cat>
          <c:val>
            <c:numRef>
              <c:f>Sheet1!$B$2:$E$2</c:f>
              <c:numCache>
                <c:formatCode>0%</c:formatCode>
                <c:ptCount val="4"/>
                <c:pt idx="0" formatCode="0.00%">
                  <c:v>0.51429999999999998</c:v>
                </c:pt>
                <c:pt idx="1">
                  <c:v>0.30000000000000032</c:v>
                </c:pt>
                <c:pt idx="2" formatCode="0.00%">
                  <c:v>8.3300000000000068E-2</c:v>
                </c:pt>
                <c:pt idx="3" formatCode="0.00%">
                  <c:v>0.13039400000000001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Negative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Sheet1!$B$1:$E$1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F1-measure</c:v>
                </c:pt>
              </c:strCache>
            </c:strRef>
          </c:cat>
          <c:val>
            <c:numRef>
              <c:f>Sheet1!$B$3:$E$3</c:f>
              <c:numCache>
                <c:formatCode>0.00%</c:formatCode>
                <c:ptCount val="4"/>
                <c:pt idx="0">
                  <c:v>0.48570000000000002</c:v>
                </c:pt>
                <c:pt idx="1">
                  <c:v>0.44440000000000041</c:v>
                </c:pt>
                <c:pt idx="2">
                  <c:v>0.70590000000000064</c:v>
                </c:pt>
                <c:pt idx="3">
                  <c:v>0.54542599999999997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Neutral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cat>
            <c:strRef>
              <c:f>Sheet1!$B$1:$E$1</c:f>
              <c:strCache>
                <c:ptCount val="4"/>
                <c:pt idx="0">
                  <c:v>Accuracy</c:v>
                </c:pt>
                <c:pt idx="1">
                  <c:v>Precision</c:v>
                </c:pt>
                <c:pt idx="2">
                  <c:v>Recall</c:v>
                </c:pt>
                <c:pt idx="3">
                  <c:v>F1-measure</c:v>
                </c:pt>
              </c:strCache>
            </c:strRef>
          </c:cat>
          <c:val>
            <c:numRef>
              <c:f>Sheet1!$B$4:$E$4</c:f>
              <c:numCache>
                <c:formatCode>0.00%</c:formatCode>
                <c:ptCount val="4"/>
                <c:pt idx="0">
                  <c:v>0.81430000000000002</c:v>
                </c:pt>
                <c:pt idx="1">
                  <c:v>0.14290000000000039</c:v>
                </c:pt>
                <c:pt idx="2">
                  <c:v>1.7500000000000036E-2</c:v>
                </c:pt>
                <c:pt idx="3">
                  <c:v>3.1181000000000059E-2</c:v>
                </c:pt>
              </c:numCache>
            </c:numRef>
          </c:val>
        </c:ser>
        <c:gapDepth val="0"/>
        <c:shape val="box"/>
        <c:axId val="50768512"/>
        <c:axId val="72948352"/>
        <c:axId val="0"/>
      </c:bar3DChart>
      <c:catAx>
        <c:axId val="50768512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2948352"/>
        <c:crosses val="autoZero"/>
        <c:auto val="1"/>
        <c:lblAlgn val="ctr"/>
        <c:lblOffset val="100"/>
        <c:tickLblSkip val="1"/>
        <c:tickMarkSkip val="1"/>
      </c:catAx>
      <c:valAx>
        <c:axId val="72948352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.00%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50768512"/>
        <c:crosses val="autoZero"/>
        <c:crossBetween val="between"/>
      </c:valAx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8506711409395995"/>
          <c:y val="0.38485804416403874"/>
          <c:w val="0.14261744966443013"/>
          <c:h val="0.23028391167192441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12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in Audio Steganography</vt:lpstr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in Audio Steganography</dc:title>
  <dc:creator>user</dc:creator>
  <cp:lastModifiedBy>ASHASHANTHARAM</cp:lastModifiedBy>
  <cp:revision>61</cp:revision>
  <dcterms:created xsi:type="dcterms:W3CDTF">2011-05-09T13:34:00Z</dcterms:created>
  <dcterms:modified xsi:type="dcterms:W3CDTF">2013-05-22T10:18:00Z</dcterms:modified>
</cp:coreProperties>
</file>