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99F5367" w:rsidR="00D7522C" w:rsidRPr="00422ABA" w:rsidRDefault="00F76FE8" w:rsidP="00422ABA">
      <w:pPr>
        <w:pStyle w:val="papertitle"/>
        <w:spacing w:before="5pt" w:beforeAutospacing="1" w:after="5pt"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BA0FEA" w14:textId="77777777" w:rsidR="00F76FE8" w:rsidRDefault="00F76FE8" w:rsidP="00F76FE8">
      <w:pPr>
        <w:pStyle w:val="Author"/>
        <w:spacing w:before="0pt" w:after="0pt"/>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pt" w:after="0pt"/>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pt" w:after="0pt"/>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pt" w:after="0pt"/>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5pt" w:beforeAutospacing="1"/>
        <w:sectPr w:rsidR="00F76FE8" w:rsidRPr="005B520E" w:rsidSect="003B4E04">
          <w:type w:val="continuous"/>
          <w:pgSz w:w="595.30pt" w:h="841.90pt" w:code="9"/>
          <w:pgMar w:top="22.50pt" w:right="44.65pt" w:bottom="72pt" w:left="44.65pt" w:header="36pt" w:footer="36pt" w:gutter="0pt"/>
          <w:cols w:num="3" w:space="36pt"/>
          <w:docGrid w:linePitch="360"/>
        </w:sectPr>
      </w:pPr>
    </w:p>
    <w:p w14:paraId="40FA2D84" w14:textId="133F6A27" w:rsidR="004D72B5" w:rsidRDefault="009303D9" w:rsidP="00972203">
      <w:pPr>
        <w:pStyle w:val="Abstract"/>
        <w:rPr>
          <w:i/>
          <w:iCs/>
        </w:rPr>
      </w:pPr>
      <w:r>
        <w:rPr>
          <w:i/>
          <w:iCs/>
        </w:rPr>
        <w:t>Abstract</w:t>
      </w:r>
      <w:r>
        <w:t xml:space="preserve">—Traditional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allows a user to examine the structure from a range of viewpoints without constructing an explicit 3D model. A sequence of photographs is captured along an accessible arc around the pavilion, correspondences between adjacent frames are established through feature matching, and intermediate viewpoints are synthesized through optical-flow-based view interpolation. The resulting frames are assembled into a web viewer driven by click-and-drag input. We discuss two constraints specific to this subject: the adjacent lake restricts the capture path to a partial arc, and the pavilion's four-fold rotational symmetry introduces a risk of false feature correspondences between structurally similar faces.</w:t>
      </w:r>
    </w:p>
    <w:p w14:paraId="58B10678" w14:textId="4B8801B1" w:rsidR="009303D9" w:rsidRPr="004D72B5" w:rsidRDefault="004D72B5" w:rsidP="00972203">
      <w:pPr>
        <w:pStyle w:val="Keywords"/>
      </w:pPr>
      <w:r>
        <w:t>Keywords—Thai arts and culture, rendering, image-based rendering, view interpolation.</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 xml:space="preserve">Our pipeline consists of three stages: image capture around the physical sala, pose recovery through feature correspondence, and view interpolation to synthesize intermediate frames, followed by assembly into an interactive web viewer. Each stage is implemented as a standalone, argument-driven script, chained by a single orchestration script so that every stage's output can be inspected independently.</w:t>
      </w:r>
      <w:r>
        <w:rPr>
          <w:lang w:val="en-US"/>
        </w:rPr>
        <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 xml:space="preserve">Photographs were captured along the safely accessible land-side arc surrounding Sala Chaturamuk Phaichit, walking at an approximately constant camera-to-pavilion distance and a fixed camera height, using the phone's standard 1x lens in landscape orientation and pointing toward the pavilion's centre. Because the adjacent lake and site boundaries prevent a continuous constant-radius path around all four sides, the captured photographs cover a partial arc rather than a complete 360-degree rotation. Capture was carried out across two walks along the same arc, later combined into a single ordered sequence; after excluding a small number of test and misoriented frames, 206 usable photographs remained. Exposure, white balance and focus were locked manually to prevent flicker and refocusing between frames, and capture was carried out under overcast conditions to limit shadow movement. [To record: start angle, end angle, and mean angular spacing, to be finalized from the camera's recorded heading at each shot.]</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were extracted and matched between each pair of adjacent images using a FLANN-based matcher with Lowe's ratio test. Matching was restricted to adjacent frames only, since the pavilion is four-porched and close to rotationally symmetric and matching across the full set risks false correspondences between structurally similar faces. Outlier matches were filtered with RANSAC, fitting a fundamental matrix where the two views have sufficient parallax and falling back to a homography where that model is degenerate. Each adjacent pair was additionally checked for the scene displacement between the two photographs, since large displacements exceed what the subsequent optical-flow stage can track; this check flagged 15 of the 205 adjacent pairs in the captured sequence, consistent with a brief pause and a foreground obstruction identified on inspection of the photographs at those points.</w:t>
      </w:r>
    </w:p>
    <w:p w14:paraId="6C172391" w14:textId="4634426F" w:rsidR="009303D9" w:rsidRPr="005B520E" w:rsidRDefault="006460D9" w:rsidP="00E7596C">
      <w:pPr>
        <w:pStyle w:val="bulletlist"/>
      </w:pPr>
      <w:r>
        <w:t xml:space="preserve">Dense optical flow (Farneback) was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was used to generate two intermediate frames per adjacent pair through backward warping and cross-dissolving, filling the gaps between captured angles.</w:t>
      </w:r>
    </w:p>
    <w:p w14:paraId="75446D9B" w14:textId="3FBD3617" w:rsidR="009303D9" w:rsidRPr="005B520E" w:rsidRDefault="006460D9" w:rsidP="00E7596C">
      <w:pPr>
        <w:pStyle w:val="BodyText"/>
      </w:pPr>
      <w:r>
        <w:t xml:space="preserve">All real and synthesized frames were ordered by capture sequence and exported as a single sequence for the viewer; per-frame angles remain to be added once the capture headings noted in the previous subsection are finalized.</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 xml:space="preserve">Both viewers have been built and are functional; the specific quantitative and perceptual measurements below remain to be completed. We evaluate the viewer qualitatively by comparing the naive frame-switching baseline with the interpolation-based version, and by noting where each approach breaks down.</w:t>
      </w:r>
    </w:p>
    <w:p>
      <w:pPr>
        <w:pStyle w:val="tablefootnote"/>
        <w:numPr>
          <w:ilvl w:val="0"/>
          <w:numId w:val="0"/>
        </w:numPr>
        <w:spacing w:before="0pt" w:after="0pt"/>
        <w:jc w:val="center"/>
        <w:rPr>
          <w:sz w:val="20"/>
          <w:szCs w:val="20"/>
        </w:rPr>
      </w:pPr>
      <w:r>
        <w:rPr>
          <w:noProof/>
        </w:rPr>
        <w:drawing>
          <wp:inline distT="0" distB="0" distL="0" distR="0" wp14:anchorId="03A20002" wp14:editId="60482002">
            <wp:extent cx="3017520" cy="2249424"/>
            <wp:effectExtent l="0" t="0" r="0" b="0"/>
            <wp:docPr id="2" name="fig_clean_fram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fig_clean_frame.png"/>
                    <pic:cNvPicPr/>
                  </pic:nvPicPr>
                  <pic:blipFill>
                    <a:blip r:embed="rId15"/>
                    <a:stretch>
                      <a:fillRect/>
                    </a:stretch>
                  </pic:blipFill>
                  <pic:spPr>
                    <a:xfrm>
                      <a:off x="0" y="0"/>
                      <a:ext cx="3017520" cy="2249424"/>
                    </a:xfrm>
                    <a:prstGeom prst="rect">
                      <a:avLst/>
                    </a:prstGeom>
                  </pic:spPr>
                </pic:pic>
              </a:graphicData>
            </a:graphic>
          </wp:inline>
        </w:drawing>
      </w:r>
    </w:p>
    <w:p>
      <w:pPr>
        <w:pStyle w:val="figurecaption"/>
      </w:pPr>
      <w:r>
        <w:t xml:space="preserve">The interactive viewer displaying a captured photograph roughly midway through the arc (frame 301 of 616).</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[To record] Whether rotation reads as discrete jumps rather than continuous motion.</w:t>
      </w:r>
    </w:p>
    <w:p w14:paraId="2C931F21" w14:textId="67B2C5C7" w:rsidR="009303D9" w:rsidRPr="005B520E" w:rsidRDefault="006460D9" w:rsidP="00794804">
      <w:pPr>
        <w:pStyle w:val="Heading3"/>
      </w:pPr>
      <w:r>
        <w:t xml:space="preserve">[To record] How the comfortable viewing angle depends on capture density.</w:t>
      </w:r>
      <w:r>
        <w:rPr>
          <w:i w:val="0"/>
        </w:rPr>
        <w:t/>
      </w:r>
    </w:p>
    <w:p w14:paraId="231DEF96" w14:textId="7DA75ABF" w:rsidR="009303D9" w:rsidRPr="005B520E" w:rsidRDefault="006460D9" w:rsidP="00794804">
      <w:pPr>
        <w:pStyle w:val="Heading4"/>
      </w:pPr>
      <w:r>
        <w:t>[To record] The angular spacing at which rotation begins to feel discontinuous.</w:t>
      </w:r>
    </w:p>
    <w:p w14:paraId="4E7D029E" w14:textId="36092105" w:rsidR="009303D9" w:rsidRPr="005B520E" w:rsidRDefault="006460D9" w:rsidP="00794804">
      <w:pPr>
        <w:pStyle w:val="Heading4"/>
      </w:pPr>
      <w:r>
        <w:t xml:space="preserve">[To record] Whether fine roof-tile detail changes abruptly between frames.</w:t>
      </w:r>
      <w:r>
        <w:rPr>
          <w:i w:val="0"/>
        </w:rPr>
        <w:t/>
      </w:r>
    </w:p>
    <w:p w14:paraId="2CDA38EC" w14:textId="2ACDF932" w:rsidR="007D6232" w:rsidRDefault="006460D9" w:rsidP="007D6232">
      <w:pPr>
        <w:pStyle w:val="Heading4"/>
        <w:rPr>
          <w:i w:val="0"/>
        </w:rPr>
      </w:pPr>
      <w:r>
        <w:t xml:space="preserve">[To record] Whether shadows shift position at frame boundaries despite locked exposure.</w:t>
      </w:r>
      <w:r>
        <w:rPr>
          <w:i w:val="0"/>
        </w:rPr>
        <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 xml:space="preserve">[To record] Whether rotation over the roof edges and eaves remains smooth, and where flow tracking holds up.</w:t>
      </w:r>
    </w:p>
    <w:p w14:paraId="1B7223DD" w14:textId="4DD36AA1" w:rsidR="009303D9" w:rsidRPr="005B520E" w:rsidRDefault="006460D9" w:rsidP="00E7596C">
      <w:pPr>
        <w:pStyle w:val="BodyText"/>
      </w:pPr>
      <w:r>
        <w:t xml:space="preserve">Artifacts are most visible at three identified points in the captured sequence: the join between the two capture sessions, and two locations within the second session — one coinciding with a longer pause between shots and one where a tree branch briefly obstructed the pavilion in the frame. All three were flagged automatically by the per-pair displacement check described in the Methodology before the affected frames were inspected, and the visible artifact at each is consistent with the cause identified in the underlying photographs.</w:t>
      </w:r>
    </w:p>
    <w:p>
      <w:pPr>
        <w:pStyle w:val="tablefootnote"/>
        <w:numPr>
          <w:ilvl w:val="0"/>
          <w:numId w:val="0"/>
        </w:numPr>
        <w:spacing w:before="0pt" w:after="0pt"/>
        <w:jc w:val="center"/>
        <w:rPr>
          <w:sz w:val="20"/>
          <w:szCs w:val="20"/>
        </w:rPr>
      </w:pPr>
      <w:r>
        <w:rPr>
          <w:noProof/>
        </w:rPr>
        <w:drawing>
          <wp:inline distT="0" distB="0" distL="0" distR="0" wp14:anchorId="03A20003" wp14:editId="60482003">
            <wp:extent cx="3017520" cy="2249424"/>
            <wp:effectExtent l="0" t="0" r="0" b="0"/>
            <wp:docPr id="3" name="fig_seam_artifact.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fig_seam_artifact.png"/>
                    <pic:cNvPicPr/>
                  </pic:nvPicPr>
                  <pic:blipFill>
                    <a:blip r:embed="rId16"/>
                    <a:stretch>
                      <a:fillRect/>
                    </a:stretch>
                  </pic:blipFill>
                  <pic:spPr>
                    <a:xfrm>
                      <a:off x="0" y="0"/>
                      <a:ext cx="3017520" cy="2249424"/>
                    </a:xfrm>
                    <a:prstGeom prst="rect">
                      <a:avLst/>
                    </a:prstGeom>
                  </pic:spPr>
                </pic:pic>
              </a:graphicData>
            </a:graphic>
          </wp:inline>
        </w:drawing>
      </w:r>
    </w:p>
    <w:p>
      <w:pPr>
        <w:pStyle w:val="figurecaption"/>
      </w:pPr>
      <w:r>
        <w:t xml:space="preserve">A synthesized frame at the join between the two capture sessions, showing the double-exposure artifact discussed above.</w:t>
      </w:r>
    </w:p>
    <w:p>
      <w:pPr>
        <w:pStyle w:val="tablefootnote"/>
        <w:numPr>
          <w:ilvl w:val="0"/>
          <w:numId w:val="0"/>
        </w:numPr>
        <w:spacing w:before="0pt" w:after="0pt"/>
        <w:jc w:val="center"/>
        <w:rPr>
          <w:sz w:val="20"/>
          <w:szCs w:val="20"/>
        </w:rPr>
      </w:pPr>
      <w:r>
        <w:rPr>
          <w:noProof/>
        </w:rPr>
        <w:drawing>
          <wp:inline distT="0" distB="0" distL="0" distR="0" wp14:anchorId="03A20004" wp14:editId="60482004">
            <wp:extent cx="3017520" cy="1173584"/>
            <wp:effectExtent l="0" t="0" r="0" b="0"/>
            <wp:docPr id="4" name="fig_ghosting_before_after.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fig_ghosting_before_after.png"/>
                    <pic:cNvPicPr/>
                  </pic:nvPicPr>
                  <pic:blipFill>
                    <a:blip r:embed="rId17"/>
                    <a:stretch>
                      <a:fillRect/>
                    </a:stretch>
                  </pic:blipFill>
                  <pic:spPr>
                    <a:xfrm>
                      <a:off x="0" y="0"/>
                      <a:ext cx="3017520" cy="1173584"/>
                    </a:xfrm>
                    <a:prstGeom prst="rect">
                      <a:avLst/>
                    </a:prstGeom>
                  </pic:spPr>
                </pic:pic>
              </a:graphicData>
            </a:graphic>
          </wp:inline>
        </w:drawing>
      </w:r>
    </w:p>
    <w:p>
      <w:pPr>
        <w:pStyle w:val="figurecaption"/>
      </w:pPr>
      <w:r>
        <w:t xml:space="preserve">A synthesized frame from the second, more tightly spaced capture (salathai_version2, frame 41 of 145) before and after tuning the Farneback flow parameters. The pavilion structure is markedly sharper across the whole frame, not only the foreground, and the distant background tower shows less residual ghosting than the equivalent frame from the original, wider-spaced capture.</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 xml:space="preserve"> A short side-by-side comparison of both viewers has not yet been carried out. Table I reports the frame counts the pipeline actually produced; the remaining rows are pending confirmation of the measured capture angles and a small user test for perceived smoothness.</w:t>
      </w:r>
    </w:p>
    <w:p w14:paraId="4B46A03A" w14:textId="7C4B3083" w:rsidR="009303D9" w:rsidRPr="005B520E" w:rsidRDefault="006460D9">
      <w:pPr>
        <w:pStyle w:val="tablehead"/>
      </w:pPr>
      <w:r>
        <w:t>Viewer parameters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01773C08" w:rsidR="009303D9" w:rsidRDefault="009303D9">
            <w:pPr>
              <w:pStyle w:val="tablecolhead"/>
            </w:pPr>
          </w:p>
        </w:tc>
        <w:tc>
          <w:tcPr>
            <w:tcW w:w="207pt"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324E45CE" w:rsidR="009303D9" w:rsidRDefault="009303D9">
            <w:pPr>
              <w:pStyle w:val="tablecolsubhead"/>
            </w:pPr>
            <w:r>
              <w:t>Metric</w:t>
            </w:r>
          </w:p>
        </w:tc>
        <w:tc>
          <w:tcPr>
            <w:tcW w:w="45pt" w:type="dxa"/>
            <w:vAlign w:val="center"/>
          </w:tcPr>
          <w:p w14:paraId="61A7AA28" w14:textId="1B6950D2" w:rsidR="009303D9" w:rsidRDefault="009303D9">
            <w:pPr>
              <w:pStyle w:val="tablecolsubhead"/>
            </w:pPr>
            <w:r>
              <w:t>Baseline</w:t>
            </w:r>
          </w:p>
        </w:tc>
        <w:tc>
          <w:tcPr>
            <w:tcW w:w="45pt"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36pt" w:type="dxa"/>
            <w:vAlign w:val="center"/>
          </w:tcPr>
          <w:p w14:paraId="1AAA1001" w14:textId="1AAA1001" w:rsidR="009303D9" w:rsidRDefault="009303D9">
            <w:pPr>
              <w:pStyle w:val="tablecopy"/>
              <w:rPr>
                <w:sz w:val="8"/>
                <w:szCs w:val="8"/>
              </w:rPr>
            </w:pPr>
            <w:r>
              <w:rPr>
                <w:sz w:val="8"/>
                <w:szCs w:val="8"/>
              </w:rPr>
              <w:t>1</w:t>
            </w:r>
          </w:p>
        </w:tc>
        <w:tc>
          <w:tcPr>
            <w:tcW w:w="117pt" w:type="dxa"/>
            <w:vAlign w:val="center"/>
          </w:tcPr>
          <w:p w14:paraId="1AAA1002" w14:textId="1AAA1002" w:rsidR="009303D9" w:rsidRDefault="009303D9">
            <w:pPr>
              <w:pStyle w:val="tablecopy"/>
            </w:pPr>
            <w:r>
              <w:t>Displayed frames</w:t>
            </w:r>
          </w:p>
        </w:tc>
        <w:tc>
          <w:tcPr>
            <w:tcW w:w="45pt" w:type="dxa"/>
            <w:vAlign w:val="center"/>
          </w:tcPr>
          <w:p w14:paraId="1AAA1003" w14:textId="1AAA1003" w:rsidR="009303D9" w:rsidRDefault="009303D9">
            <w:pPr>
              <w:jc w:val="center"/>
              <w:rPr>
                <w:sz w:val="16"/>
                <w:szCs w:val="16"/>
              </w:rPr>
            </w:pPr>
            <w:r>
              <w:rPr>
                <w:sz w:val="16"/>
                <w:szCs w:val="16"/>
              </w:rPr>
              <w:t>206</w:t>
            </w:r>
          </w:p>
        </w:tc>
        <w:tc>
          <w:tcPr>
            <w:tcW w:w="45pt" w:type="dxa"/>
            <w:vAlign w:val="center"/>
          </w:tcPr>
          <w:p w14:paraId="1AAA1004" w14:textId="1AAA1004" w:rsidR="009303D9" w:rsidRDefault="009303D9">
            <w:pPr>
              <w:jc w:val="center"/>
              <w:rPr>
                <w:sz w:val="16"/>
                <w:szCs w:val="16"/>
              </w:rPr>
            </w:pPr>
            <w:r>
              <w:rPr>
                <w:sz w:val="16"/>
                <w:szCs w:val="16"/>
              </w:rPr>
              <w:t>616</w:t>
            </w:r>
          </w:p>
        </w:tc>
      </w:tr>
      <w:tr w:rsidR="009303D9" w14:paraId="1AAA2000" w14:textId="1AAA2000">
        <w:trPr>
          <w:trHeight w:val="320"/>
          <w:jc w:val="center"/>
        </w:trPr>
        <w:tc>
          <w:tcPr>
            <w:tcW w:w="36pt" w:type="dxa"/>
            <w:vAlign w:val="center"/>
          </w:tcPr>
          <w:p w14:paraId="1AAA2001" w14:textId="1AAA2001" w:rsidR="009303D9" w:rsidRDefault="009303D9">
            <w:pPr>
              <w:pStyle w:val="tablecopy"/>
              <w:rPr>
                <w:sz w:val="8"/>
                <w:szCs w:val="8"/>
              </w:rPr>
            </w:pPr>
            <w:r>
              <w:rPr>
                <w:sz w:val="8"/>
                <w:szCs w:val="8"/>
              </w:rPr>
              <w:t>2</w:t>
            </w:r>
          </w:p>
        </w:tc>
        <w:tc>
          <w:tcPr>
            <w:tcW w:w="117pt" w:type="dxa"/>
            <w:vAlign w:val="center"/>
          </w:tcPr>
          <w:p w14:paraId="1AAA2002" w14:textId="1AAA2002" w:rsidR="009303D9" w:rsidRDefault="009303D9">
            <w:pPr>
              <w:pStyle w:val="tablecopy"/>
            </w:pPr>
            <w:r>
              <w:t>Mean angular step between displayed frames</w:t>
            </w:r>
          </w:p>
        </w:tc>
        <w:tc>
          <w:tcPr>
            <w:tcW w:w="45pt" w:type="dxa"/>
            <w:vAlign w:val="center"/>
          </w:tcPr>
          <w:p w14:paraId="1AAA2003" w14:textId="1AAA2003" w:rsidR="009303D9" w:rsidRDefault="009303D9">
            <w:pPr>
              <w:jc w:val="center"/>
              <w:rPr>
                <w:sz w:val="16"/>
                <w:szCs w:val="16"/>
              </w:rPr>
            </w:pPr>
            <w:r>
              <w:rPr>
                <w:sz w:val="16"/>
                <w:szCs w:val="16"/>
              </w:rPr>
              <w:t>TBD</w:t>
            </w:r>
          </w:p>
        </w:tc>
        <w:tc>
          <w:tcPr>
            <w:tcW w:w="45pt" w:type="dxa"/>
            <w:vAlign w:val="center"/>
          </w:tcPr>
          <w:p w14:paraId="1AAA2004" w14:textId="1AAA2004" w:rsidR="009303D9" w:rsidRDefault="009303D9">
            <w:pPr>
              <w:jc w:val="center"/>
              <w:rPr>
                <w:sz w:val="16"/>
                <w:szCs w:val="16"/>
              </w:rPr>
            </w:pPr>
            <w:r>
              <w:rPr>
                <w:sz w:val="16"/>
                <w:szCs w:val="16"/>
              </w:rPr>
              <w:t>TBD</w:t>
            </w:r>
          </w:p>
        </w:tc>
      </w:tr>
      <w:tr w:rsidR="009303D9" w14:paraId="1AAA3000" w14:textId="1AAA3000">
        <w:trPr>
          <w:trHeight w:val="320"/>
          <w:jc w:val="center"/>
        </w:trPr>
        <w:tc>
          <w:tcPr>
            <w:tcW w:w="36pt" w:type="dxa"/>
            <w:vAlign w:val="center"/>
          </w:tcPr>
          <w:p w14:paraId="1AAA3001" w14:textId="1AAA3001" w:rsidR="009303D9" w:rsidRDefault="009303D9">
            <w:pPr>
              <w:pStyle w:val="tablecopy"/>
              <w:rPr>
                <w:sz w:val="8"/>
                <w:szCs w:val="8"/>
              </w:rPr>
            </w:pPr>
            <w:r>
              <w:rPr>
                <w:sz w:val="8"/>
                <w:szCs w:val="8"/>
              </w:rPr>
              <w:t>3</w:t>
            </w:r>
          </w:p>
        </w:tc>
        <w:tc>
          <w:tcPr>
            <w:tcW w:w="117pt" w:type="dxa"/>
            <w:vAlign w:val="center"/>
          </w:tcPr>
          <w:p w14:paraId="1AAA3002" w14:textId="1AAA3002" w:rsidR="009303D9" w:rsidRDefault="009303D9">
            <w:pPr>
              <w:pStyle w:val="tablecopy"/>
            </w:pPr>
            <w:r>
              <w:t>Perceived rotation smoothness (1–5, user test)</w:t>
            </w:r>
          </w:p>
        </w:tc>
        <w:tc>
          <w:tcPr>
            <w:tcW w:w="45pt" w:type="dxa"/>
            <w:vAlign w:val="center"/>
          </w:tcPr>
          <w:p w14:paraId="1AAA3003" w14:textId="1AAA3003" w:rsidR="009303D9" w:rsidRDefault="009303D9">
            <w:pPr>
              <w:jc w:val="center"/>
              <w:rPr>
                <w:sz w:val="16"/>
                <w:szCs w:val="16"/>
              </w:rPr>
            </w:pPr>
            <w:r>
              <w:rPr>
                <w:sz w:val="16"/>
                <w:szCs w:val="16"/>
              </w:rPr>
              <w:t>TBD</w:t>
            </w:r>
          </w:p>
        </w:tc>
        <w:tc>
          <w:tcPr>
            <w:tcW w:w="45pt" w:type="dxa"/>
            <w:vAlign w:val="center"/>
          </w:tcPr>
          <w:p w14:paraId="1AAA3004" w14:textId="1AAA3004" w:rsidR="009303D9" w:rsidRDefault="009303D9">
            <w:pPr>
              <w:jc w:val="center"/>
              <w:rPr>
                <w:sz w:val="16"/>
                <w:szCs w:val="16"/>
              </w:rPr>
            </w:pPr>
            <w:r>
              <w:rPr>
                <w:sz w:val="16"/>
                <w:szCs w:val="16"/>
              </w:rPr>
              <w:t>TBD</w:t>
            </w:r>
          </w:p>
        </w:tc>
      </w:tr>
    </w:tbl>
    <w:p w14:paraId="7DE18D4A" w14:textId="32267C48" w:rsidR="00422ABA" w:rsidRPr="006460D9" w:rsidRDefault="00422ABA" w:rsidP="006460D9">
      <w:pPr>
        <w:pStyle w:val="tablefootnote"/>
        <w:numPr>
          <w:ilvl w:val="0"/>
          <w:numId w:val="0"/>
        </w:numPr>
        <w:spacing w:before="0pt" w:after="0pt"/>
        <w:rPr>
          <w:sz w:val="20"/>
          <w:szCs w:val="20"/>
        </w:rPr>
      </w:pPr>
    </w:p>
    <w:p w14:paraId="6DF646C2" w14:textId="3FBE53D0" w:rsidR="006460D9" w:rsidRPr="006460D9" w:rsidRDefault="00E112DF" w:rsidP="00E112DF">
      <w:pPr>
        <w:pStyle w:val="tablefootnote"/>
        <w:numPr>
          <w:ilvl w:val="0"/>
          <w:numId w:val="0"/>
        </w:numPr>
        <w:spacing w:before="0pt" w:after="0pt"/>
        <w:jc w:val="center"/>
        <w:rPr>
          <w:sz w:val="20"/>
          <w:szCs w:val="20"/>
        </w:rPr>
      </w:pPr>
      <w:r>
        <w:rPr>
          <w:noProof/>
        </w:rPr>
        <w:drawing>
          <wp:inline distT="0" distB="0" distL="0" distR="0" wp14:anchorId="03A21DDF" wp14:editId="604872DF">
            <wp:extent cx="3017520" cy="1109486"/>
            <wp:effectExtent l="0" t="0" r="0" b="0"/>
            <wp:docPr id="1" name="Fig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peline_diagram.png"/>
                    <pic:cNvPicPr/>
                  </pic:nvPicPr>
                  <pic:blipFill>
                    <a:blip r:embed="rId14"/>
                    <a:stretch>
                      <a:fillRect/>
                    </a:stretch>
                  </pic:blipFill>
                  <pic:spPr>
                    <a:xfrm>
                      <a:off x="0" y="0"/>
                      <a:ext cx="3017520" cy="1109486"/>
                    </a:xfrm>
                    <a:prstGeom prst="rect">
                      <a:avLst/>
                    </a:prstGeom>
                  </pic:spPr>
                </pic:pic>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The pipeline runs end to end on real photographs of the pavilion and produces a working, interactive viewer with no explicit 3D geometry at any stage, which supports the core premise of image-based rendering. Whether the interpolated views are convincing enough to matter, and how they compare quantitatively to the baseline, remains to be established by the measurements above. The most visible limitation observed was double-exposure ghosting in synthesized frames, most pronounced at the join between the two capture sessions but also visible, to a lesser extent, in some pairs well within a single session. Comparing the affected frames against the per-pair displacement diagnostic showed this was not purely a consequence of the session gap: some pairs under the flagging threshold still ghosted on thin, high-contrast structures such as roof finials and a distant background tower silhouetted against open sky, where the default Farneback flow settings could not track fine detail reliably. Raising the flow window size, pyramid levels, iterations, and polynomial-expansion parameters and regenerating both capture sequences with these settings visibly sharpened the pavilion itself in previously ghosted frames, including at the session join described above. A second, independently captured sequence of the same pavilion (salathai_version2, 146 photographs) was shot with deliberately tighter spacing between adjacent positions, directly targeting the root cause rather than only the flow estimator: Farneback flow estimates correspondences from local pixel displacement, so a smaller displacement between adjacent photographs gives it less distance to track and a shorter distance over which its estimate can drift, independent of any parameter tuning. This shows up in the same displacement diagnostic used throughout: the fraction of adjacent pairs flagged fell from 7.3% (15 of 205) in the original capture to 3.4% (5 of 145) in the tighter one. Applying the tuned flow parameters on top of this tighter capture compounds both fixes, and the improvement is visible directly in the representative frame from that capture shown above. Ghosting has not been eliminated: distant, low-parallax structures at the most extreme remaining displacement pairs, such as the background tower at the session join, still show visible doubling, which is the next limitation to address — either by reshooting that stretch of the arc more densely or by weighting the blend by flow confidence rather than a fixed cross-dissolve.</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A sequence of photographs captured along the accessible arc around the pavilion was combined with optical-flow-based view interpolation to produce a working, interactive web-based viewer; whether it offers smoother rotation than a naive frame-switching baseline is assessed qualitatively above, pending a full quantitative comparison. Two constraints specific to this subject shaped the work: the adjacent lake prevents a complete circular capture path, and the pavilion's four-fold rotational symmetry complicates feature matching between structurally similar faces. Future work includes capturing from a boat or elevated position to close the arc, adding multiple rings at different elevations to support tilt as well as rotation, and comparing optical-flow interpolation against learned view-synthesis methods.</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17.70pt" w:hanging="17.70pt"/>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17.70pt" w:hanging="17.70pt"/>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17.70pt" w:hanging="17.70pt"/>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17.70pt" w:hanging="17.70pt"/>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17.70pt" w:hanging="17.70pt"/>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2232E4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 Id="rId14" Type="http://purl.oclc.org/ooxml/officeDocument/relationships/image" Target="media/image1.png"/><Relationship Id="rId15" Type="http://purl.oclc.org/ooxml/officeDocument/relationships/image" Target="media/image2.png"/><Relationship Id="rId16" Type="http://purl.oclc.org/ooxml/officeDocument/relationships/image" Target="media/image3.png"/><Relationship Id="rId17"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purl.oclc.org/ooxml/officeDocument/extendedProperties" xmlns:vt="http://purl.oclc.org/ooxml/officeDocument/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0x010100DCA674CEC26FCF4591194308972A7836</vt:lpwstr>
  </property>
</Properties>
</file>