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body>
    <w:p w14:paraId="20C779BD" w14:textId="399F5367" w:rsidR="00D7522C" w:rsidRPr="00422ABA" w:rsidRDefault="00F76FE8" w:rsidP="00422ABA">
      <w:pPr>
        <w:pStyle w:val="papertitle"/>
        <w:spacing w:before="100" w:beforeAutospacing="1" w:after="100" w:afterAutospacing="1"/>
        <w:rPr>
          <w:kern w:val="48"/>
        </w:rPr>
      </w:pPr>
      <w:r>
        <w:rPr>
          <w:kern w:val="48"/>
        </w:rPr>
        <w:t>Two Gaussian-Splatting Reconstructions from the September Re-Capture of Sala Chaturamuk Phaichit, and What Still Limits Them</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31BA0FEA" w14:textId="77777777" w:rsidR="00F76FE8" w:rsidRDefault="00F76FE8" w:rsidP="00F76FE8">
      <w:pPr>
        <w:pStyle w:val="Author"/>
        <w:spacing w:before="0" w:after="0"/>
        <w:rPr>
          <w:color w:val="000000" w:themeColor="text1"/>
          <w:sz w:val="18"/>
          <w:szCs w:val="18"/>
        </w:rPr>
      </w:pPr>
      <w:r>
        <w:rPr>
          <w:color w:val="000000" w:themeColor="text1"/>
          <w:sz w:val="18"/>
          <w:szCs w:val="18"/>
        </w:rPr>
        <w:t xml:space="preserve">Win Yu Maung</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u6612054@au.edu</w:t>
      </w:r>
    </w:p>
    <w:p w14:paraId="21E5E817" w14:textId="482AEC5A" w:rsidR="00F76FE8" w:rsidRDefault="00F76FE8" w:rsidP="00F76FE8">
      <w:pPr>
        <w:pStyle w:val="Author"/>
        <w:spacing w:before="0" w:after="0"/>
        <w:rPr>
          <w:color w:val="000000" w:themeColor="text1"/>
          <w:sz w:val="18"/>
          <w:szCs w:val="18"/>
        </w:rPr>
      </w:pPr>
      <w:r>
        <w:rPr>
          <w:color w:val="000000" w:themeColor="text1"/>
          <w:sz w:val="18"/>
          <w:szCs w:val="18"/>
        </w:rPr>
        <w:t xml:space="preserve">Myat Bhone Thet</w:t>
        <w:br/>
      </w: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 xml:space="preserve">u6611935@au.edu</w:t>
        <w:br/>
      </w:r>
    </w:p>
    <w:p w14:paraId="5CEF3415" w14:textId="278B3110" w:rsidR="00F76FE8" w:rsidRPr="00F76FE8" w:rsidRDefault="00F76FE8" w:rsidP="00F76FE8">
      <w:pPr>
        <w:pStyle w:val="Author"/>
        <w:spacing w:before="0" w:after="0"/>
        <w:rPr>
          <w:color w:val="000000" w:themeColor="text1"/>
          <w:sz w:val="18"/>
          <w:szCs w:val="18"/>
        </w:rPr>
      </w:pPr>
      <w:r>
        <w:rPr>
          <w:color w:val="000000" w:themeColor="text1"/>
          <w:sz w:val="18"/>
          <w:szCs w:val="18"/>
        </w:rPr>
        <w:t>Min Pyae Hein</w:t>
      </w:r>
    </w:p>
    <w:p w14:paraId="06909C7A" w14:textId="3C60651C" w:rsidR="00F76FE8" w:rsidRDefault="00C703B1" w:rsidP="00F76FE8">
      <w:pPr>
        <w:pStyle w:val="Author"/>
        <w:spacing w:before="0" w:after="0"/>
        <w:rPr>
          <w:color w:val="000000" w:themeColor="text1"/>
          <w:sz w:val="18"/>
          <w:szCs w:val="18"/>
        </w:rPr>
      </w:pPr>
      <w:r>
        <w:rPr>
          <w:i/>
          <w:iCs/>
          <w:color w:val="000000" w:themeColor="text1"/>
          <w:sz w:val="18"/>
          <w:szCs w:val="18"/>
        </w:rPr>
        <w:t>Vincent Mary School of Engineering, Science and Technology</w:t>
        <w:br/>
        <w:t>Suvarnabhumi Campus, Assumption University of Thailand</w:t>
        <w:br/>
      </w:r>
      <w:r>
        <w:rPr>
          <w:color w:val="000000" w:themeColor="text1"/>
          <w:sz w:val="18"/>
          <w:szCs w:val="18"/>
        </w:rPr>
        <w:t>Samut Prakan, Thailand</w:t>
        <w:br/>
        <w:t>u6511684@au.edu</w:t>
      </w:r>
    </w:p>
    <w:p w14:paraId="0A88E65D" w14:textId="5DC177BB" w:rsidR="00F76FE8" w:rsidRPr="005B520E" w:rsidRDefault="00F76FE8" w:rsidP="00F76FE8">
      <w:pPr>
        <w:pStyle w:val="Author"/>
        <w:spacing w:before="100" w:beforeAutospacing="1"/>
        <w:sectPr w:rsidR="00F76FE8" w:rsidRPr="005B520E" w:rsidSect="003B4E04">
          <w:type w:val="continuous"/>
          <w:pgSz w:w="11906" w:h="16838" w:code="9"/>
          <w:pgMar w:top="450" w:right="893" w:bottom="1440" w:left="893" w:header="720" w:footer="720" w:gutter="0"/>
          <w:cols w:num="3" w:space="720"/>
          <w:docGrid w:linePitch="360"/>
        </w:sectPr>
      </w:pPr>
    </w:p>
    <w:p>
      <w:pPr>
        <w:pStyle w:val="Abstract"/>
      </w:pPr>
      <w:r>
        <w:t>Abstract—The 5 September 2026 re-capture removed every cause identified in the Version 5 failure analysis, and for the first time in this project a reconstruction ran end to end. Two 3D Gaussian Splatting models were trained: the pavilion, from 395 registered photographs, scoring 20.10 dB PSNR on 50 held-out views, and an adjacent stone lamp, from 100 photographs, scoring 15.93 dB on 13. This report documents both the failure that preceded them and the result, and argues that the headline PSNR is the wrong number to read. Decomposed by image region, the same renders score 22.33 dB and 18.14 dB once sky-mask artefacts are excluded, and 20.89 dB and 20.25 dB over the region the subject occupies. Three limits remain, none of them a training limit: a sky mask that is not consistent between views, worth 2.2–2.4 dB; an interior that never bound to the exterior, leaving 51 of 93 interior photographs untrained; and a capture in which not one camera looks down at the pavilion, so the roof is unobserved. A fitted extrapolation of the training loss bounds all remaining benefit from further optimisation at 7–12 per cent, against 2.4 dB available from a software fix.</w:t>
      </w:r>
    </w:p>
    <w:p>
      <w:pPr>
        <w:pStyle w:val="Keywords"/>
      </w:pPr>
      <w:r>
        <w:t>Keywords—3D Gaussian splatting, structure from motion, novel view synthesis, capture planning, held-out evaluation, Thai pavilion</w:t>
      </w:r>
    </w:p>
    <w:p>
      <w:pPr>
        <w:pStyle w:val="Heading1"/>
      </w:pPr>
      <w:r>
        <w:t>Summary</w:t>
      </w:r>
    </w:p>
    <w:p>
      <w:pPr>
        <w:pStyle w:val="BodyText"/>
      </w:pPr>
      <w:r>
        <w:t>The re-capture worked. For the first time in this project a reconstruction ran end to end — structure-from-motion, undistortion, 30,000 iterations of Gaussian splatting, held-out scoring and export — without a single geometric failure. Two models came out of it.</w:t>
      </w:r>
    </w:p>
    <w:p>
      <w:pPr>
        <w:pStyle w:val="tablehead"/>
        <w:jc w:val="center"/>
      </w:pPr>
      <w:r>
        <w:t>TABLE 1.  The two models produced by the September re-capture.</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446"/>
        <w:gridCol w:w="1446"/>
        <w:gridCol w:w="1446"/>
        <w:gridCol w:w="1446"/>
        <w:gridCol w:w="1446"/>
        <w:gridCol w:w="1446"/>
        <w:gridCol w:w="1446"/>
      </w:tblGrid>
      <w:tr>
        <w:tc>
          <w:tcPr>
            <w:tcW w:type="dxa" w:w="1446"/>
            <w:shd w:val="clear" w:fill="EFEFEC"/>
          </w:tcPr>
          <w:p>
            <w:pPr>
              <w:pStyle w:val="BodyText"/>
              <w:spacing w:after="20" w:before="20"/>
            </w:pPr>
            <w:r>
              <w:rPr>
                <w:b/>
                <w:sz w:val="17"/>
              </w:rPr>
            </w:r>
          </w:p>
        </w:tc>
        <w:tc>
          <w:tcPr>
            <w:tcW w:type="dxa" w:w="1446"/>
            <w:shd w:val="clear" w:fill="EFEFEC"/>
          </w:tcPr>
          <w:p>
            <w:pPr>
              <w:pStyle w:val="BodyText"/>
              <w:spacing w:after="20" w:before="20"/>
            </w:pPr>
            <w:r>
              <w:rPr>
                <w:b/>
                <w:sz w:val="17"/>
              </w:rPr>
            </w:r>
            <w:r>
              <w:rPr>
                <w:b/>
                <w:sz w:val="17"/>
              </w:rPr>
              <w:t>Photographs</w:t>
            </w:r>
          </w:p>
        </w:tc>
        <w:tc>
          <w:tcPr>
            <w:tcW w:type="dxa" w:w="1446"/>
            <w:shd w:val="clear" w:fill="EFEFEC"/>
          </w:tcPr>
          <w:p>
            <w:pPr>
              <w:pStyle w:val="BodyText"/>
              <w:spacing w:after="20" w:before="20"/>
            </w:pPr>
            <w:r>
              <w:rPr>
                <w:b/>
                <w:sz w:val="17"/>
              </w:rPr>
            </w:r>
            <w:r>
              <w:rPr>
                <w:b/>
                <w:sz w:val="17"/>
              </w:rPr>
              <w:t>Registered</w:t>
            </w:r>
          </w:p>
        </w:tc>
        <w:tc>
          <w:tcPr>
            <w:tcW w:type="dxa" w:w="1446"/>
            <w:shd w:val="clear" w:fill="EFEFEC"/>
          </w:tcPr>
          <w:p>
            <w:pPr>
              <w:pStyle w:val="BodyText"/>
              <w:spacing w:after="20" w:before="20"/>
            </w:pPr>
            <w:r>
              <w:rPr>
                <w:b/>
                <w:sz w:val="17"/>
              </w:rPr>
            </w:r>
            <w:r>
              <w:rPr>
                <w:b/>
                <w:sz w:val="17"/>
              </w:rPr>
              <w:t>Gaussians (cropped)</w:t>
            </w:r>
          </w:p>
        </w:tc>
        <w:tc>
          <w:tcPr>
            <w:tcW w:type="dxa" w:w="1446"/>
            <w:shd w:val="clear" w:fill="EFEFEC"/>
          </w:tcPr>
          <w:p>
            <w:pPr>
              <w:pStyle w:val="BodyText"/>
              <w:spacing w:after="20" w:before="20"/>
            </w:pPr>
            <w:r>
              <w:rPr>
                <w:b/>
                <w:sz w:val="17"/>
              </w:rPr>
            </w:r>
            <w:r>
              <w:rPr>
                <w:b/>
                <w:sz w:val="17"/>
              </w:rPr>
              <w:t>PSNR</w:t>
            </w:r>
          </w:p>
        </w:tc>
        <w:tc>
          <w:tcPr>
            <w:tcW w:type="dxa" w:w="1446"/>
            <w:shd w:val="clear" w:fill="EFEFEC"/>
          </w:tcPr>
          <w:p>
            <w:pPr>
              <w:pStyle w:val="BodyText"/>
              <w:spacing w:after="20" w:before="20"/>
            </w:pPr>
            <w:r>
              <w:rPr>
                <w:b/>
                <w:sz w:val="17"/>
              </w:rPr>
            </w:r>
            <w:r>
              <w:rPr>
                <w:b/>
                <w:sz w:val="17"/>
              </w:rPr>
              <w:t>SSIM</w:t>
            </w:r>
          </w:p>
        </w:tc>
        <w:tc>
          <w:tcPr>
            <w:tcW w:type="dxa" w:w="1446"/>
            <w:shd w:val="clear" w:fill="EFEFEC"/>
          </w:tcPr>
          <w:p>
            <w:pPr>
              <w:pStyle w:val="BodyText"/>
              <w:spacing w:after="20" w:before="20"/>
            </w:pPr>
            <w:r>
              <w:rPr>
                <w:b/>
                <w:sz w:val="17"/>
              </w:rPr>
            </w:r>
            <w:r>
              <w:rPr>
                <w:b/>
                <w:sz w:val="17"/>
              </w:rPr>
              <w:t>LPIPS</w:t>
            </w:r>
          </w:p>
        </w:tc>
      </w:tr>
      <w:tr>
        <w:tc>
          <w:tcPr>
            <w:tcW w:type="dxa" w:w="1446"/>
          </w:tcPr>
          <w:p>
            <w:pPr>
              <w:pStyle w:val="BodyText"/>
              <w:spacing w:after="20" w:before="20"/>
            </w:pPr>
            <w:r>
              <w:rPr>
                <w:sz w:val="17"/>
              </w:rPr>
            </w:r>
            <w:r>
              <w:rPr>
                <w:b/>
                <w:sz w:val="17"/>
              </w:rPr>
              <w:t>Sala</w:t>
            </w:r>
          </w:p>
        </w:tc>
        <w:tc>
          <w:tcPr>
            <w:tcW w:type="dxa" w:w="1446"/>
          </w:tcPr>
          <w:p>
            <w:pPr>
              <w:pStyle w:val="BodyText"/>
              <w:spacing w:after="20" w:before="20"/>
            </w:pPr>
            <w:r>
              <w:rPr>
                <w:sz w:val="17"/>
              </w:rPr>
            </w:r>
            <w:r>
              <w:rPr>
                <w:sz w:val="17"/>
              </w:rPr>
              <w:t>446</w:t>
            </w:r>
          </w:p>
        </w:tc>
        <w:tc>
          <w:tcPr>
            <w:tcW w:type="dxa" w:w="1446"/>
          </w:tcPr>
          <w:p>
            <w:pPr>
              <w:pStyle w:val="BodyText"/>
              <w:spacing w:after="20" w:before="20"/>
            </w:pPr>
            <w:r>
              <w:rPr>
                <w:sz w:val="17"/>
              </w:rPr>
            </w:r>
            <w:r>
              <w:rPr>
                <w:sz w:val="17"/>
              </w:rPr>
              <w:t>395</w:t>
            </w:r>
          </w:p>
        </w:tc>
        <w:tc>
          <w:tcPr>
            <w:tcW w:type="dxa" w:w="1446"/>
          </w:tcPr>
          <w:p>
            <w:pPr>
              <w:pStyle w:val="BodyText"/>
              <w:spacing w:after="20" w:before="20"/>
            </w:pPr>
            <w:r>
              <w:rPr>
                <w:sz w:val="17"/>
              </w:rPr>
            </w:r>
            <w:r>
              <w:rPr>
                <w:sz w:val="17"/>
              </w:rPr>
              <w:t>291,764</w:t>
            </w:r>
          </w:p>
        </w:tc>
        <w:tc>
          <w:tcPr>
            <w:tcW w:type="dxa" w:w="1446"/>
          </w:tcPr>
          <w:p>
            <w:pPr>
              <w:pStyle w:val="BodyText"/>
              <w:spacing w:after="20" w:before="20"/>
            </w:pPr>
            <w:r>
              <w:rPr>
                <w:sz w:val="17"/>
              </w:rPr>
            </w:r>
            <w:r>
              <w:rPr>
                <w:b/>
                <w:sz w:val="17"/>
              </w:rPr>
              <w:t>20.10 dB</w:t>
            </w:r>
          </w:p>
        </w:tc>
        <w:tc>
          <w:tcPr>
            <w:tcW w:type="dxa" w:w="1446"/>
          </w:tcPr>
          <w:p>
            <w:pPr>
              <w:pStyle w:val="BodyText"/>
              <w:spacing w:after="20" w:before="20"/>
            </w:pPr>
            <w:r>
              <w:rPr>
                <w:sz w:val="17"/>
              </w:rPr>
            </w:r>
            <w:r>
              <w:rPr>
                <w:sz w:val="17"/>
              </w:rPr>
              <w:t>0.739</w:t>
            </w:r>
          </w:p>
        </w:tc>
        <w:tc>
          <w:tcPr>
            <w:tcW w:type="dxa" w:w="1446"/>
          </w:tcPr>
          <w:p>
            <w:pPr>
              <w:pStyle w:val="BodyText"/>
              <w:spacing w:after="20" w:before="20"/>
            </w:pPr>
            <w:r>
              <w:rPr>
                <w:sz w:val="17"/>
              </w:rPr>
            </w:r>
            <w:r>
              <w:rPr>
                <w:sz w:val="17"/>
              </w:rPr>
              <w:t>0.342</w:t>
            </w:r>
          </w:p>
        </w:tc>
      </w:tr>
      <w:tr>
        <w:tc>
          <w:tcPr>
            <w:tcW w:type="dxa" w:w="1446"/>
          </w:tcPr>
          <w:p>
            <w:pPr>
              <w:pStyle w:val="BodyText"/>
              <w:spacing w:after="20" w:before="20"/>
            </w:pPr>
            <w:r>
              <w:rPr>
                <w:sz w:val="17"/>
              </w:rPr>
            </w:r>
            <w:r>
              <w:rPr>
                <w:b/>
                <w:sz w:val="17"/>
              </w:rPr>
              <w:t>Lamp</w:t>
            </w:r>
          </w:p>
        </w:tc>
        <w:tc>
          <w:tcPr>
            <w:tcW w:type="dxa" w:w="1446"/>
          </w:tcPr>
          <w:p>
            <w:pPr>
              <w:pStyle w:val="BodyText"/>
              <w:spacing w:after="20" w:before="20"/>
            </w:pPr>
            <w:r>
              <w:rPr>
                <w:sz w:val="17"/>
              </w:rPr>
            </w:r>
            <w:r>
              <w:rPr>
                <w:sz w:val="17"/>
              </w:rPr>
              <w:t>100</w:t>
            </w:r>
          </w:p>
        </w:tc>
        <w:tc>
          <w:tcPr>
            <w:tcW w:type="dxa" w:w="1446"/>
          </w:tcPr>
          <w:p>
            <w:pPr>
              <w:pStyle w:val="BodyText"/>
              <w:spacing w:after="20" w:before="20"/>
            </w:pPr>
            <w:r>
              <w:rPr>
                <w:sz w:val="17"/>
              </w:rPr>
            </w:r>
            <w:r>
              <w:rPr>
                <w:sz w:val="17"/>
              </w:rPr>
              <w:t>100</w:t>
            </w:r>
          </w:p>
        </w:tc>
        <w:tc>
          <w:tcPr>
            <w:tcW w:type="dxa" w:w="1446"/>
          </w:tcPr>
          <w:p>
            <w:pPr>
              <w:pStyle w:val="BodyText"/>
              <w:spacing w:after="20" w:before="20"/>
            </w:pPr>
            <w:r>
              <w:rPr>
                <w:sz w:val="17"/>
              </w:rPr>
            </w:r>
            <w:r>
              <w:rPr>
                <w:sz w:val="17"/>
              </w:rPr>
              <w:t>163,756</w:t>
            </w:r>
          </w:p>
        </w:tc>
        <w:tc>
          <w:tcPr>
            <w:tcW w:type="dxa" w:w="1446"/>
          </w:tcPr>
          <w:p>
            <w:pPr>
              <w:pStyle w:val="BodyText"/>
              <w:spacing w:after="20" w:before="20"/>
            </w:pPr>
            <w:r>
              <w:rPr>
                <w:sz w:val="17"/>
              </w:rPr>
            </w:r>
            <w:r>
              <w:rPr>
                <w:b/>
                <w:sz w:val="17"/>
              </w:rPr>
              <w:t>15.93 dB</w:t>
            </w:r>
          </w:p>
        </w:tc>
        <w:tc>
          <w:tcPr>
            <w:tcW w:type="dxa" w:w="1446"/>
          </w:tcPr>
          <w:p>
            <w:pPr>
              <w:pStyle w:val="BodyText"/>
              <w:spacing w:after="20" w:before="20"/>
            </w:pPr>
            <w:r>
              <w:rPr>
                <w:sz w:val="17"/>
              </w:rPr>
            </w:r>
            <w:r>
              <w:rPr>
                <w:sz w:val="17"/>
              </w:rPr>
              <w:t>0.707</w:t>
            </w:r>
          </w:p>
        </w:tc>
        <w:tc>
          <w:tcPr>
            <w:tcW w:type="dxa" w:w="1446"/>
          </w:tcPr>
          <w:p>
            <w:pPr>
              <w:pStyle w:val="BodyText"/>
              <w:spacing w:after="20" w:before="20"/>
            </w:pPr>
            <w:r>
              <w:rPr>
                <w:sz w:val="17"/>
              </w:rPr>
            </w:r>
            <w:r>
              <w:rPr>
                <w:sz w:val="17"/>
              </w:rPr>
              <w:t>0.314</w:t>
            </w:r>
          </w:p>
        </w:tc>
      </w:tr>
    </w:tbl>
    <w:p>
      <w:pPr>
        <w:pStyle w:val="BodyText"/>
        <w:spacing w:after="80"/>
      </w:pPr>
    </w:p>
    <w:p>
      <w:pPr>
        <w:pStyle w:val="BodyText"/>
      </w:pPr>
      <w:r>
        <w:t>Both are scored on held-out photographs the model never saw — every eighth frame, 50 for the sala and 13 for the lamp — using the same protocol as the 146-image version2 model reported in Version 4 (22.09 dB, 0.785, 0.346 at 15,000 iterations), so the three are comparable.</w:t>
      </w:r>
    </w:p>
    <w:p>
      <w:pPr>
        <w:pStyle w:val="BodyText"/>
      </w:pPr>
      <w:r>
        <w:rPr>
          <w:b/>
        </w:rPr>
        <w:t>The single most transferable finding of this round:</w:t>
      </w:r>
      <w:r>
        <w:t xml:space="preserve"> the reported PSNR is dominated by parts of the photograph that are not the subject. Sky that the mask blackened inconsistently, and distant scenery no orbit could constrain, account for most of the loss. A single headline number conceals a reconstruction that is good where it was photographed and absent where it was not.</w:t>
      </w:r>
    </w:p>
    <w:p>
      <w:pPr>
        <w:pStyle w:val="BodyText"/>
      </w:pPr>
      <w:r>
        <w:t xml:space="preserve">Three limits remain, and </w:t>
      </w:r>
      <w:r>
        <w:rPr>
          <w:b/>
        </w:rPr>
        <w:t>none of them is a training limit</w:t>
      </w:r>
      <w:r>
        <w:t>:</w:t>
      </w:r>
    </w:p>
    <w:p>
      <w:pPr>
        <w:pStyle w:val="tablehead"/>
        <w:jc w:val="center"/>
      </w:pPr>
      <w:r>
        <w:t>TABLE 2.  What still limits the result.</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504"/>
            <w:shd w:val="clear" w:fill="EFEFEC"/>
          </w:tcPr>
          <w:p>
            <w:pPr>
              <w:pStyle w:val="BodyText"/>
              <w:spacing w:after="20" w:before="20"/>
            </w:pPr>
            <w:r>
              <w:rPr>
                <w:b/>
                <w:sz w:val="17"/>
              </w:rPr>
            </w:r>
            <w:r>
              <w:rPr>
                <w:b/>
                <w:sz w:val="17"/>
              </w:rPr>
              <w:t>#</w:t>
            </w:r>
          </w:p>
        </w:tc>
        <w:tc>
          <w:tcPr>
            <w:tcW w:type="dxa" w:w="4608"/>
            <w:shd w:val="clear" w:fill="EFEFEC"/>
          </w:tcPr>
          <w:p>
            <w:pPr>
              <w:pStyle w:val="BodyText"/>
              <w:spacing w:after="20" w:before="20"/>
            </w:pPr>
            <w:r>
              <w:rPr>
                <w:b/>
                <w:sz w:val="17"/>
              </w:rPr>
            </w:r>
            <w:r>
              <w:rPr>
                <w:b/>
                <w:sz w:val="17"/>
              </w:rPr>
              <w:t>Limit</w:t>
            </w:r>
          </w:p>
        </w:tc>
        <w:tc>
          <w:tcPr>
            <w:tcW w:type="dxa" w:w="3744"/>
            <w:shd w:val="clear" w:fill="EFEFEC"/>
          </w:tcPr>
          <w:p>
            <w:pPr>
              <w:pStyle w:val="BodyText"/>
              <w:spacing w:after="20" w:before="20"/>
            </w:pPr>
            <w:r>
              <w:rPr>
                <w:b/>
                <w:sz w:val="17"/>
              </w:rPr>
            </w:r>
            <w:r>
              <w:rPr>
                <w:b/>
                <w:sz w:val="17"/>
              </w:rPr>
              <w:t>Status</w:t>
            </w:r>
          </w:p>
        </w:tc>
      </w:tr>
      <w:tr>
        <w:tc>
          <w:tcPr>
            <w:tcW w:type="dxa" w:w="504"/>
          </w:tcPr>
          <w:p>
            <w:pPr>
              <w:pStyle w:val="BodyText"/>
              <w:spacing w:after="20" w:before="20"/>
            </w:pPr>
            <w:r>
              <w:rPr>
                <w:sz w:val="17"/>
              </w:rPr>
            </w:r>
            <w:r>
              <w:rPr>
                <w:sz w:val="17"/>
              </w:rPr>
              <w:t>1</w:t>
            </w:r>
          </w:p>
        </w:tc>
        <w:tc>
          <w:tcPr>
            <w:tcW w:type="dxa" w:w="4608"/>
          </w:tcPr>
          <w:p>
            <w:pPr>
              <w:pStyle w:val="BodyText"/>
              <w:spacing w:after="20" w:before="20"/>
            </w:pPr>
            <w:r>
              <w:rPr>
                <w:sz w:val="17"/>
              </w:rPr>
            </w:r>
            <w:r>
              <w:rPr>
                <w:sz w:val="17"/>
              </w:rPr>
              <w:t>The sky mask fires on some frames and not others, so the same tree is black in one view and textured in the next</w:t>
            </w:r>
          </w:p>
        </w:tc>
        <w:tc>
          <w:tcPr>
            <w:tcW w:type="dxa" w:w="3744"/>
          </w:tcPr>
          <w:p>
            <w:pPr>
              <w:pStyle w:val="BodyText"/>
              <w:spacing w:after="20" w:before="20"/>
            </w:pPr>
            <w:r>
              <w:rPr>
                <w:sz w:val="17"/>
              </w:rPr>
            </w:r>
            <w:r>
              <w:rPr>
                <w:sz w:val="17"/>
              </w:rPr>
              <w:t>Measured, costs 2.2–2.4 dB, fixable in software</w:t>
            </w:r>
          </w:p>
        </w:tc>
      </w:tr>
      <w:tr>
        <w:tc>
          <w:tcPr>
            <w:tcW w:type="dxa" w:w="504"/>
          </w:tcPr>
          <w:p>
            <w:pPr>
              <w:pStyle w:val="BodyText"/>
              <w:spacing w:after="20" w:before="20"/>
            </w:pPr>
            <w:r>
              <w:rPr>
                <w:sz w:val="17"/>
              </w:rPr>
            </w:r>
            <w:r>
              <w:rPr>
                <w:sz w:val="17"/>
              </w:rPr>
              <w:t>2</w:t>
            </w:r>
          </w:p>
        </w:tc>
        <w:tc>
          <w:tcPr>
            <w:tcW w:type="dxa" w:w="4608"/>
          </w:tcPr>
          <w:p>
            <w:pPr>
              <w:pStyle w:val="BodyText"/>
              <w:spacing w:after="20" w:before="20"/>
            </w:pPr>
            <w:r>
              <w:rPr>
                <w:sz w:val="17"/>
              </w:rPr>
            </w:r>
            <w:r>
              <w:rPr>
                <w:sz w:val="17"/>
              </w:rPr>
              <w:t>The interior never bound to the exterior; COLMAP filed it as a second reconstruction and it was never trained</w:t>
            </w:r>
          </w:p>
        </w:tc>
        <w:tc>
          <w:tcPr>
            <w:tcW w:type="dxa" w:w="3744"/>
          </w:tcPr>
          <w:p>
            <w:pPr>
              <w:pStyle w:val="BodyText"/>
              <w:spacing w:after="20" w:before="20"/>
            </w:pPr>
            <w:r>
              <w:rPr>
                <w:sz w:val="17"/>
              </w:rPr>
            </w:r>
            <w:r>
              <w:rPr>
                <w:sz w:val="17"/>
              </w:rPr>
              <w:t>Measured, 51 of 93 interior photographs unused</w:t>
            </w:r>
          </w:p>
        </w:tc>
      </w:tr>
      <w:tr>
        <w:tc>
          <w:tcPr>
            <w:tcW w:type="dxa" w:w="504"/>
          </w:tcPr>
          <w:p>
            <w:pPr>
              <w:pStyle w:val="BodyText"/>
              <w:spacing w:after="20" w:before="20"/>
            </w:pPr>
            <w:r>
              <w:rPr>
                <w:sz w:val="17"/>
              </w:rPr>
            </w:r>
            <w:r>
              <w:rPr>
                <w:sz w:val="17"/>
              </w:rPr>
              <w:t>3</w:t>
            </w:r>
          </w:p>
        </w:tc>
        <w:tc>
          <w:tcPr>
            <w:tcW w:type="dxa" w:w="4608"/>
          </w:tcPr>
          <w:p>
            <w:pPr>
              <w:pStyle w:val="BodyText"/>
              <w:spacing w:after="20" w:before="20"/>
            </w:pPr>
            <w:r>
              <w:rPr>
                <w:sz w:val="17"/>
              </w:rPr>
            </w:r>
            <w:r>
              <w:rPr>
                <w:sz w:val="17"/>
              </w:rPr>
              <w:t>Not one photograph looks down at the pavilion — the highest viewpoint is −10° elevation</w:t>
            </w:r>
          </w:p>
        </w:tc>
        <w:tc>
          <w:tcPr>
            <w:tcW w:type="dxa" w:w="3744"/>
          </w:tcPr>
          <w:p>
            <w:pPr>
              <w:pStyle w:val="BodyText"/>
              <w:spacing w:after="20" w:before="20"/>
            </w:pPr>
            <w:r>
              <w:rPr>
                <w:sz w:val="17"/>
              </w:rPr>
            </w:r>
            <w:r>
              <w:rPr>
                <w:b/>
                <w:sz w:val="17"/>
              </w:rPr>
              <w:t>Requires new photographs.</w:t>
            </w:r>
            <w:r>
              <w:rPr>
                <w:sz w:val="17"/>
              </w:rPr>
              <w:t xml:space="preserve"> Named in the Version 5 failure analysis and not acted on</w:t>
            </w:r>
          </w:p>
        </w:tc>
      </w:tr>
    </w:tbl>
    <w:p>
      <w:pPr>
        <w:pStyle w:val="BodyText"/>
        <w:spacing w:after="80"/>
      </w:pPr>
    </w:p>
    <w:p>
      <w:pPr>
        <w:pStyle w:val="Heading1"/>
      </w:pPr>
      <w:r>
        <w:t>What the Failure Analysis Asked For, and What Happened</w:t>
      </w:r>
    </w:p>
    <w:p>
      <w:pPr>
        <w:pStyle w:val="BodyText"/>
      </w:pPr>
      <w:r>
        <w:t>Section 9 of version5_failure_analysis.md listed three actions in order of cost. Recording the outcome honestly matters more than recording the plan.</w:t>
      </w:r>
    </w:p>
    <w:p>
      <w:pPr>
        <w:pStyle w:val="tablehead"/>
        <w:jc w:val="center"/>
      </w:pPr>
      <w:r>
        <w:t>TABLE 3.  Continuity with the previous round.</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504"/>
            <w:shd w:val="clear" w:fill="EFEFEC"/>
          </w:tcPr>
          <w:p>
            <w:pPr>
              <w:pStyle w:val="BodyText"/>
              <w:spacing w:after="20" w:before="20"/>
            </w:pPr>
            <w:r>
              <w:rPr>
                <w:b/>
                <w:sz w:val="17"/>
              </w:rPr>
            </w:r>
            <w:r>
              <w:rPr>
                <w:b/>
                <w:sz w:val="17"/>
              </w:rPr>
              <w:t>#</w:t>
            </w:r>
          </w:p>
        </w:tc>
        <w:tc>
          <w:tcPr>
            <w:tcW w:type="dxa" w:w="4032"/>
            <w:shd w:val="clear" w:fill="EFEFEC"/>
          </w:tcPr>
          <w:p>
            <w:pPr>
              <w:pStyle w:val="BodyText"/>
              <w:spacing w:after="20" w:before="20"/>
            </w:pPr>
            <w:r>
              <w:rPr>
                <w:b/>
                <w:sz w:val="17"/>
              </w:rPr>
            </w:r>
            <w:r>
              <w:rPr>
                <w:b/>
                <w:sz w:val="17"/>
              </w:rPr>
              <w:t>Recommended</w:t>
            </w:r>
          </w:p>
        </w:tc>
        <w:tc>
          <w:tcPr>
            <w:tcW w:type="dxa" w:w="4536"/>
            <w:shd w:val="clear" w:fill="EFEFEC"/>
          </w:tcPr>
          <w:p>
            <w:pPr>
              <w:pStyle w:val="BodyText"/>
              <w:spacing w:after="20" w:before="20"/>
            </w:pPr>
            <w:r>
              <w:rPr>
                <w:b/>
                <w:sz w:val="17"/>
              </w:rPr>
            </w:r>
            <w:r>
              <w:rPr>
                <w:b/>
                <w:sz w:val="17"/>
              </w:rPr>
              <w:t>Outcome</w:t>
            </w:r>
          </w:p>
        </w:tc>
      </w:tr>
      <w:tr>
        <w:tc>
          <w:tcPr>
            <w:tcW w:type="dxa" w:w="504"/>
          </w:tcPr>
          <w:p>
            <w:pPr>
              <w:pStyle w:val="BodyText"/>
              <w:spacing w:after="20" w:before="20"/>
            </w:pPr>
            <w:r>
              <w:rPr>
                <w:sz w:val="17"/>
              </w:rPr>
            </w:r>
            <w:r>
              <w:rPr>
                <w:sz w:val="17"/>
              </w:rPr>
              <w:t>1</w:t>
            </w:r>
          </w:p>
        </w:tc>
        <w:tc>
          <w:tcPr>
            <w:tcW w:type="dxa" w:w="4032"/>
          </w:tcPr>
          <w:p>
            <w:pPr>
              <w:pStyle w:val="BodyText"/>
              <w:spacing w:after="20" w:before="20"/>
            </w:pPr>
            <w:r>
              <w:rPr>
                <w:sz w:val="17"/>
              </w:rPr>
            </w:r>
            <w:r>
              <w:rPr>
                <w:sz w:val="17"/>
              </w:rPr>
              <w:t>Re-run COLMAP on the 352-photograph set with single_camera_per_folder</w:t>
            </w:r>
          </w:p>
        </w:tc>
        <w:tc>
          <w:tcPr>
            <w:tcW w:type="dxa" w:w="4536"/>
          </w:tcPr>
          <w:p>
            <w:pPr>
              <w:pStyle w:val="BodyText"/>
              <w:spacing w:after="20" w:before="20"/>
            </w:pPr>
            <w:r>
              <w:rPr>
                <w:sz w:val="17"/>
              </w:rPr>
            </w:r>
            <w:r>
              <w:rPr>
                <w:b/>
                <w:sz w:val="17"/>
              </w:rPr>
              <w:t>Not done, and correctly so.</w:t>
            </w:r>
            <w:r>
              <w:rPr>
                <w:sz w:val="17"/>
              </w:rPr>
              <w:t xml:space="preserve"> Superseded by action 3, which removed the cause rather than working around it</w:t>
            </w:r>
          </w:p>
        </w:tc>
      </w:tr>
      <w:tr>
        <w:tc>
          <w:tcPr>
            <w:tcW w:type="dxa" w:w="504"/>
          </w:tcPr>
          <w:p>
            <w:pPr>
              <w:pStyle w:val="BodyText"/>
              <w:spacing w:after="20" w:before="20"/>
            </w:pPr>
            <w:r>
              <w:rPr>
                <w:sz w:val="17"/>
              </w:rPr>
            </w:r>
            <w:r>
              <w:rPr>
                <w:sz w:val="17"/>
              </w:rPr>
              <w:t>2</w:t>
            </w:r>
          </w:p>
        </w:tc>
        <w:tc>
          <w:tcPr>
            <w:tcW w:type="dxa" w:w="4032"/>
          </w:tcPr>
          <w:p>
            <w:pPr>
              <w:pStyle w:val="BodyText"/>
              <w:spacing w:after="20" w:before="20"/>
            </w:pPr>
            <w:r>
              <w:rPr>
                <w:sz w:val="17"/>
              </w:rPr>
            </w:r>
            <w:r>
              <w:rPr>
                <w:sz w:val="17"/>
              </w:rPr>
              <w:t>Train and report whatever that produced</w:t>
            </w:r>
          </w:p>
        </w:tc>
        <w:tc>
          <w:tcPr>
            <w:tcW w:type="dxa" w:w="4536"/>
          </w:tcPr>
          <w:p>
            <w:pPr>
              <w:pStyle w:val="BodyText"/>
              <w:spacing w:after="20" w:before="20"/>
            </w:pPr>
            <w:r>
              <w:rPr>
                <w:sz w:val="17"/>
              </w:rPr>
            </w:r>
            <w:r>
              <w:rPr>
                <w:b/>
                <w:sz w:val="17"/>
              </w:rPr>
              <w:t>Not applicable</w:t>
            </w:r>
            <w:r>
              <w:rPr>
                <w:sz w:val="17"/>
              </w:rPr>
              <w:t xml:space="preserve"> — the combined set was abandoned</w:t>
            </w:r>
          </w:p>
        </w:tc>
      </w:tr>
      <w:tr>
        <w:tc>
          <w:tcPr>
            <w:tcW w:type="dxa" w:w="504"/>
          </w:tcPr>
          <w:p>
            <w:pPr>
              <w:pStyle w:val="BodyText"/>
              <w:spacing w:after="20" w:before="20"/>
            </w:pPr>
            <w:r>
              <w:rPr>
                <w:sz w:val="17"/>
              </w:rPr>
            </w:r>
            <w:r>
              <w:rPr>
                <w:sz w:val="17"/>
              </w:rPr>
              <w:t>3</w:t>
            </w:r>
          </w:p>
        </w:tc>
        <w:tc>
          <w:tcPr>
            <w:tcW w:type="dxa" w:w="4032"/>
          </w:tcPr>
          <w:p>
            <w:pPr>
              <w:pStyle w:val="BodyText"/>
              <w:spacing w:after="20" w:before="20"/>
            </w:pPr>
            <w:r>
              <w:rPr>
                <w:sz w:val="17"/>
              </w:rPr>
            </w:r>
            <w:r>
              <w:rPr>
                <w:sz w:val="17"/>
              </w:rPr>
              <w:t xml:space="preserve">Re-shoot: one camera, one session, one focal length, unbroken chain, </w:t>
            </w:r>
            <w:r>
              <w:rPr>
                <w:b/>
                <w:sz w:val="17"/>
              </w:rPr>
              <w:t>elevated positions from floor 6 or higher</w:t>
            </w:r>
          </w:p>
        </w:tc>
        <w:tc>
          <w:tcPr>
            <w:tcW w:type="dxa" w:w="4536"/>
          </w:tcPr>
          <w:p>
            <w:pPr>
              <w:pStyle w:val="BodyText"/>
              <w:spacing w:after="20" w:before="20"/>
            </w:pPr>
            <w:r>
              <w:rPr>
                <w:sz w:val="17"/>
              </w:rPr>
            </w:r>
            <w:r>
              <w:rPr>
                <w:b/>
                <w:sz w:val="17"/>
              </w:rPr>
              <w:t>Done, except the elevated positions.</w:t>
            </w:r>
            <w:r>
              <w:rPr>
                <w:sz w:val="17"/>
              </w:rPr>
              <w:t xml:space="preserve"> Every other clause was satisfied exactly. The elevation clause was not, and it had been named "the only route to an observed roof"</w:t>
            </w:r>
          </w:p>
        </w:tc>
      </w:tr>
    </w:tbl>
    <w:p>
      <w:pPr>
        <w:pStyle w:val="BodyText"/>
        <w:spacing w:after="80"/>
      </w:pPr>
    </w:p>
    <w:p>
      <w:pPr>
        <w:pStyle w:val="BodyText"/>
      </w:pPr>
      <w:r>
        <w:t>The re-capture solved every cause the failure analysis identified — and reproduced, untouched, the one cause it had flagged as needing height.</w:t>
      </w:r>
    </w:p>
    <w:p>
      <w:pPr>
        <w:pStyle w:val="Heading1"/>
      </w:pPr>
      <w:r>
        <w:t>The 5 September Capture</w:t>
      </w:r>
    </w:p>
    <w:p>
      <w:pPr>
        <w:pStyle w:val="BodyText"/>
      </w:pPr>
      <w:r>
        <w:t>724 photographs, one continuous 55-minute session, iPhone 16 Pro, ultra-wide 2.22 mm lens.</w:t>
      </w:r>
    </w:p>
    <w:p>
      <w:pPr>
        <w:pStyle w:val="tablehead"/>
        <w:jc w:val="center"/>
      </w:pPr>
      <w:r>
        <w:t>TABLE 4.  The capture that failed, against the capture that worked.</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3024"/>
            <w:shd w:val="clear" w:fill="EFEFEC"/>
          </w:tcPr>
          <w:p>
            <w:pPr>
              <w:pStyle w:val="BodyText"/>
              <w:spacing w:after="20" w:before="20"/>
            </w:pPr>
            <w:r>
              <w:rPr>
                <w:b/>
                <w:sz w:val="17"/>
              </w:rPr>
            </w:r>
            <w:r>
              <w:rPr>
                <w:b/>
                <w:sz w:val="17"/>
              </w:rPr>
              <w:t>Property</w:t>
            </w:r>
          </w:p>
        </w:tc>
        <w:tc>
          <w:tcPr>
            <w:tcW w:type="dxa" w:w="3312"/>
            <w:shd w:val="clear" w:fill="EFEFEC"/>
          </w:tcPr>
          <w:p>
            <w:pPr>
              <w:pStyle w:val="BodyText"/>
              <w:spacing w:after="20" w:before="20"/>
            </w:pPr>
            <w:r>
              <w:rPr>
                <w:b/>
                <w:sz w:val="17"/>
              </w:rPr>
            </w:r>
            <w:r>
              <w:rPr>
                <w:b/>
                <w:sz w:val="17"/>
              </w:rPr>
              <w:t>Combined Aug set (failed)</w:t>
            </w:r>
          </w:p>
        </w:tc>
        <w:tc>
          <w:tcPr>
            <w:tcW w:type="dxa" w:w="2880"/>
            <w:shd w:val="clear" w:fill="EFEFEC"/>
          </w:tcPr>
          <w:p>
            <w:pPr>
              <w:pStyle w:val="BodyText"/>
              <w:spacing w:after="20" w:before="20"/>
            </w:pPr>
            <w:r>
              <w:rPr>
                <w:b/>
                <w:sz w:val="17"/>
              </w:rPr>
            </w:r>
            <w:r>
              <w:rPr>
                <w:b/>
                <w:sz w:val="17"/>
              </w:rPr>
              <w:t>5 Sep set</w:t>
            </w:r>
          </w:p>
        </w:tc>
      </w:tr>
      <w:tr>
        <w:tc>
          <w:tcPr>
            <w:tcW w:type="dxa" w:w="3024"/>
          </w:tcPr>
          <w:p>
            <w:pPr>
              <w:pStyle w:val="BodyText"/>
              <w:spacing w:after="20" w:before="20"/>
            </w:pPr>
            <w:r>
              <w:rPr>
                <w:sz w:val="17"/>
              </w:rPr>
            </w:r>
            <w:r>
              <w:rPr>
                <w:sz w:val="17"/>
              </w:rPr>
              <w:t>Cameras</w:t>
            </w:r>
          </w:p>
        </w:tc>
        <w:tc>
          <w:tcPr>
            <w:tcW w:type="dxa" w:w="3312"/>
          </w:tcPr>
          <w:p>
            <w:pPr>
              <w:pStyle w:val="BodyText"/>
              <w:spacing w:after="20" w:before="20"/>
            </w:pPr>
            <w:r>
              <w:rPr>
                <w:sz w:val="17"/>
              </w:rPr>
            </w:r>
            <w:r>
              <w:rPr>
                <w:sz w:val="17"/>
              </w:rPr>
              <w:t>2 phones (iPhone 17 Pro, 16 Pro)</w:t>
            </w:r>
          </w:p>
        </w:tc>
        <w:tc>
          <w:tcPr>
            <w:tcW w:type="dxa" w:w="2880"/>
          </w:tcPr>
          <w:p>
            <w:pPr>
              <w:pStyle w:val="BodyText"/>
              <w:spacing w:after="20" w:before="20"/>
            </w:pPr>
            <w:r>
              <w:rPr>
                <w:sz w:val="17"/>
              </w:rPr>
            </w:r>
            <w:r>
              <w:rPr>
                <w:b/>
                <w:sz w:val="17"/>
              </w:rPr>
              <w:t>1</w:t>
            </w:r>
          </w:p>
        </w:tc>
      </w:tr>
      <w:tr>
        <w:tc>
          <w:tcPr>
            <w:tcW w:type="dxa" w:w="3024"/>
          </w:tcPr>
          <w:p>
            <w:pPr>
              <w:pStyle w:val="BodyText"/>
              <w:spacing w:after="20" w:before="20"/>
            </w:pPr>
            <w:r>
              <w:rPr>
                <w:sz w:val="17"/>
              </w:rPr>
            </w:r>
            <w:r>
              <w:rPr>
                <w:sz w:val="17"/>
              </w:rPr>
              <w:t>Lens configurations</w:t>
            </w:r>
          </w:p>
        </w:tc>
        <w:tc>
          <w:tcPr>
            <w:tcW w:type="dxa" w:w="3312"/>
          </w:tcPr>
          <w:p>
            <w:pPr>
              <w:pStyle w:val="BodyText"/>
              <w:spacing w:after="20" w:before="20"/>
            </w:pPr>
            <w:r>
              <w:rPr>
                <w:sz w:val="17"/>
              </w:rPr>
            </w:r>
            <w:r>
              <w:rPr>
                <w:sz w:val="17"/>
              </w:rPr>
              <w:t>3</w:t>
            </w:r>
          </w:p>
        </w:tc>
        <w:tc>
          <w:tcPr>
            <w:tcW w:type="dxa" w:w="2880"/>
          </w:tcPr>
          <w:p>
            <w:pPr>
              <w:pStyle w:val="BodyText"/>
              <w:spacing w:after="20" w:before="20"/>
            </w:pPr>
            <w:r>
              <w:rPr>
                <w:sz w:val="17"/>
              </w:rPr>
            </w:r>
            <w:r>
              <w:rPr>
                <w:b/>
                <w:sz w:val="17"/>
              </w:rPr>
              <w:t>1</w:t>
            </w:r>
          </w:p>
        </w:tc>
      </w:tr>
      <w:tr>
        <w:tc>
          <w:tcPr>
            <w:tcW w:type="dxa" w:w="3024"/>
          </w:tcPr>
          <w:p>
            <w:pPr>
              <w:pStyle w:val="BodyText"/>
              <w:spacing w:after="20" w:before="20"/>
            </w:pPr>
            <w:r>
              <w:rPr>
                <w:sz w:val="17"/>
              </w:rPr>
            </w:r>
            <w:r>
              <w:rPr>
                <w:sz w:val="17"/>
              </w:rPr>
              <w:t>35 mm-equivalent focal spread</w:t>
            </w:r>
          </w:p>
        </w:tc>
        <w:tc>
          <w:tcPr>
            <w:tcW w:type="dxa" w:w="3312"/>
          </w:tcPr>
          <w:p>
            <w:pPr>
              <w:pStyle w:val="BodyText"/>
              <w:spacing w:after="20" w:before="20"/>
            </w:pPr>
            <w:r>
              <w:rPr>
                <w:sz w:val="17"/>
              </w:rPr>
            </w:r>
            <w:r>
              <w:rPr>
                <w:b/>
                <w:sz w:val="17"/>
              </w:rPr>
              <w:t>7×</w:t>
            </w:r>
            <w:r>
              <w:rPr>
                <w:sz w:val="17"/>
              </w:rPr>
              <w:t xml:space="preserve"> (24–100 mm)</w:t>
            </w:r>
          </w:p>
        </w:tc>
        <w:tc>
          <w:tcPr>
            <w:tcW w:type="dxa" w:w="2880"/>
          </w:tcPr>
          <w:p>
            <w:pPr>
              <w:pStyle w:val="BodyText"/>
              <w:spacing w:after="20" w:before="20"/>
            </w:pPr>
            <w:r>
              <w:rPr>
                <w:sz w:val="17"/>
              </w:rPr>
            </w:r>
            <w:r>
              <w:rPr>
                <w:b/>
                <w:sz w:val="17"/>
              </w:rPr>
              <w:t>1.00×</w:t>
            </w:r>
            <w:r>
              <w:rPr>
                <w:sz w:val="17"/>
              </w:rPr>
              <w:t xml:space="preserve"> (14 mm on every frame)</w:t>
            </w:r>
          </w:p>
        </w:tc>
      </w:tr>
      <w:tr>
        <w:tc>
          <w:tcPr>
            <w:tcW w:type="dxa" w:w="3024"/>
          </w:tcPr>
          <w:p>
            <w:pPr>
              <w:pStyle w:val="BodyText"/>
              <w:spacing w:after="20" w:before="20"/>
            </w:pPr>
            <w:r>
              <w:rPr>
                <w:sz w:val="17"/>
              </w:rPr>
            </w:r>
            <w:r>
              <w:rPr>
                <w:sz w:val="17"/>
              </w:rPr>
              <w:t>Sessions</w:t>
            </w:r>
          </w:p>
        </w:tc>
        <w:tc>
          <w:tcPr>
            <w:tcW w:type="dxa" w:w="3312"/>
          </w:tcPr>
          <w:p>
            <w:pPr>
              <w:pStyle w:val="BodyText"/>
              <w:spacing w:after="20" w:before="20"/>
            </w:pPr>
            <w:r>
              <w:rPr>
                <w:sz w:val="17"/>
              </w:rPr>
            </w:r>
            <w:r>
              <w:rPr>
                <w:sz w:val="17"/>
              </w:rPr>
              <w:t>2, six days apart</w:t>
            </w:r>
          </w:p>
        </w:tc>
        <w:tc>
          <w:tcPr>
            <w:tcW w:type="dxa" w:w="2880"/>
          </w:tcPr>
          <w:p>
            <w:pPr>
              <w:pStyle w:val="BodyText"/>
              <w:spacing w:after="20" w:before="20"/>
            </w:pPr>
            <w:r>
              <w:rPr>
                <w:sz w:val="17"/>
              </w:rPr>
            </w:r>
            <w:r>
              <w:rPr>
                <w:b/>
                <w:sz w:val="17"/>
              </w:rPr>
              <w:t>1</w:t>
            </w:r>
          </w:p>
        </w:tc>
      </w:tr>
      <w:tr>
        <w:tc>
          <w:tcPr>
            <w:tcW w:type="dxa" w:w="3024"/>
          </w:tcPr>
          <w:p>
            <w:pPr>
              <w:pStyle w:val="BodyText"/>
              <w:spacing w:after="20" w:before="20"/>
            </w:pPr>
            <w:r>
              <w:rPr>
                <w:sz w:val="17"/>
              </w:rPr>
            </w:r>
            <w:r>
              <w:rPr>
                <w:sz w:val="17"/>
              </w:rPr>
              <w:t>Frames with no EXIF</w:t>
            </w:r>
          </w:p>
        </w:tc>
        <w:tc>
          <w:tcPr>
            <w:tcW w:type="dxa" w:w="3312"/>
          </w:tcPr>
          <w:p>
            <w:pPr>
              <w:pStyle w:val="BodyText"/>
              <w:spacing w:after="20" w:before="20"/>
            </w:pPr>
            <w:r>
              <w:rPr>
                <w:sz w:val="17"/>
              </w:rPr>
            </w:r>
            <w:r>
              <w:rPr>
                <w:sz w:val="17"/>
              </w:rPr>
              <w:t>131</w:t>
            </w:r>
          </w:p>
        </w:tc>
        <w:tc>
          <w:tcPr>
            <w:tcW w:type="dxa" w:w="2880"/>
          </w:tcPr>
          <w:p>
            <w:pPr>
              <w:pStyle w:val="BodyText"/>
              <w:spacing w:after="20" w:before="20"/>
            </w:pPr>
            <w:r>
              <w:rPr>
                <w:sz w:val="17"/>
              </w:rPr>
            </w:r>
            <w:r>
              <w:rPr>
                <w:b/>
                <w:sz w:val="17"/>
              </w:rPr>
              <w:t>0</w:t>
            </w:r>
          </w:p>
        </w:tc>
      </w:tr>
      <w:tr>
        <w:tc>
          <w:tcPr>
            <w:tcW w:type="dxa" w:w="3024"/>
          </w:tcPr>
          <w:p>
            <w:pPr>
              <w:pStyle w:val="BodyText"/>
              <w:spacing w:after="20" w:before="20"/>
            </w:pPr>
            <w:r>
              <w:rPr>
                <w:sz w:val="17"/>
              </w:rPr>
            </w:r>
            <w:r>
              <w:rPr>
                <w:sz w:val="17"/>
              </w:rPr>
              <w:t>Frames slower than 1/60 s</w:t>
            </w:r>
          </w:p>
        </w:tc>
        <w:tc>
          <w:tcPr>
            <w:tcW w:type="dxa" w:w="3312"/>
          </w:tcPr>
          <w:p>
            <w:pPr>
              <w:pStyle w:val="BodyText"/>
              <w:spacing w:after="20" w:before="20"/>
            </w:pPr>
            <w:r>
              <w:rPr>
                <w:sz w:val="17"/>
              </w:rPr>
            </w:r>
            <w:r>
              <w:rPr>
                <w:sz w:val="17"/>
              </w:rPr>
              <w:t>not measurable</w:t>
            </w:r>
          </w:p>
        </w:tc>
        <w:tc>
          <w:tcPr>
            <w:tcW w:type="dxa" w:w="2880"/>
          </w:tcPr>
          <w:p>
            <w:pPr>
              <w:pStyle w:val="BodyText"/>
              <w:spacing w:after="20" w:before="20"/>
            </w:pPr>
            <w:r>
              <w:rPr>
                <w:sz w:val="17"/>
              </w:rPr>
            </w:r>
            <w:r>
              <w:rPr>
                <w:b/>
                <w:sz w:val="17"/>
              </w:rPr>
              <w:t>1 of 724</w:t>
            </w:r>
          </w:p>
        </w:tc>
      </w:tr>
      <w:tr>
        <w:tc>
          <w:tcPr>
            <w:tcW w:type="dxa" w:w="3024"/>
          </w:tcPr>
          <w:p>
            <w:pPr>
              <w:pStyle w:val="BodyText"/>
              <w:spacing w:after="20" w:before="20"/>
            </w:pPr>
            <w:r>
              <w:rPr>
                <w:sz w:val="17"/>
              </w:rPr>
            </w:r>
            <w:r>
              <w:rPr>
                <w:sz w:val="17"/>
              </w:rPr>
              <w:t>ISO range</w:t>
            </w:r>
          </w:p>
        </w:tc>
        <w:tc>
          <w:tcPr>
            <w:tcW w:type="dxa" w:w="3312"/>
          </w:tcPr>
          <w:p>
            <w:pPr>
              <w:pStyle w:val="BodyText"/>
              <w:spacing w:after="20" w:before="20"/>
            </w:pPr>
            <w:r>
              <w:rPr>
                <w:sz w:val="17"/>
              </w:rPr>
            </w:r>
            <w:r>
              <w:rPr>
                <w:sz w:val="17"/>
              </w:rPr>
              <w:t>not measurable</w:t>
            </w:r>
          </w:p>
        </w:tc>
        <w:tc>
          <w:tcPr>
            <w:tcW w:type="dxa" w:w="2880"/>
          </w:tcPr>
          <w:p>
            <w:pPr>
              <w:pStyle w:val="BodyText"/>
              <w:spacing w:after="20" w:before="20"/>
            </w:pPr>
            <w:r>
              <w:rPr>
                <w:sz w:val="17"/>
              </w:rPr>
            </w:r>
            <w:r>
              <w:rPr>
                <w:sz w:val="17"/>
              </w:rPr>
              <w:t>50–250</w:t>
            </w:r>
          </w:p>
        </w:tc>
      </w:tr>
    </w:tbl>
    <w:p>
      <w:pPr>
        <w:pStyle w:val="BodyText"/>
        <w:spacing w:after="80"/>
      </w:pPr>
    </w:p>
    <w:p>
      <w:pPr>
        <w:pStyle w:val="BodyText"/>
      </w:pPr>
      <w:r>
        <w:t>This is the fix. Every mechanism identified in the failure analysis — one intrinsic forced across incompatible sensors, invisible because downscaling to 1600 px gives different fields of view identical pixel dimensions — is structurally impossible on a single-lens capture.</w:t>
      </w:r>
    </w:p>
    <w:p>
      <w:pPr>
        <w:pStyle w:val="tablehead"/>
        <w:jc w:val="center"/>
      </w:pPr>
      <w:r>
        <w:t>TABLE 5.  Prepared subsets. Seven 16:9 frames were dropped.</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530"/>
        <w:gridCol w:w="2530"/>
        <w:gridCol w:w="2530"/>
        <w:gridCol w:w="2530"/>
      </w:tblGrid>
      <w:tr>
        <w:tc>
          <w:tcPr>
            <w:tcW w:type="dxa" w:w="1152"/>
            <w:shd w:val="clear" w:fill="EFEFEC"/>
          </w:tcPr>
          <w:p>
            <w:pPr>
              <w:pStyle w:val="BodyText"/>
              <w:spacing w:after="20" w:before="20"/>
            </w:pPr>
            <w:r>
              <w:rPr>
                <w:b/>
                <w:sz w:val="17"/>
              </w:rPr>
            </w:r>
            <w:r>
              <w:rPr>
                <w:b/>
                <w:sz w:val="17"/>
              </w:rPr>
              <w:t>Subject</w:t>
            </w:r>
          </w:p>
        </w:tc>
        <w:tc>
          <w:tcPr>
            <w:tcW w:type="dxa" w:w="1008"/>
            <w:shd w:val="clear" w:fill="EFEFEC"/>
          </w:tcPr>
          <w:p>
            <w:pPr>
              <w:pStyle w:val="BodyText"/>
              <w:spacing w:after="20" w:before="20"/>
            </w:pPr>
            <w:r>
              <w:rPr>
                <w:b/>
                <w:sz w:val="17"/>
              </w:rPr>
            </w:r>
            <w:r>
              <w:rPr>
                <w:b/>
                <w:sz w:val="17"/>
              </w:rPr>
              <w:t>Frames</w:t>
            </w:r>
          </w:p>
        </w:tc>
        <w:tc>
          <w:tcPr>
            <w:tcW w:type="dxa" w:w="1440"/>
            <w:shd w:val="clear" w:fill="EFEFEC"/>
          </w:tcPr>
          <w:p>
            <w:pPr>
              <w:pStyle w:val="BodyText"/>
              <w:spacing w:after="20" w:before="20"/>
            </w:pPr>
            <w:r>
              <w:rPr>
                <w:b/>
                <w:sz w:val="17"/>
              </w:rPr>
            </w:r>
            <w:r>
              <w:rPr>
                <w:b/>
                <w:sz w:val="17"/>
              </w:rPr>
              <w:t>Size</w:t>
            </w:r>
          </w:p>
        </w:tc>
        <w:tc>
          <w:tcPr>
            <w:tcW w:type="dxa" w:w="5616"/>
            <w:shd w:val="clear" w:fill="EFEFEC"/>
          </w:tcPr>
          <w:p>
            <w:pPr>
              <w:pStyle w:val="BodyText"/>
              <w:spacing w:after="20" w:before="20"/>
            </w:pPr>
            <w:r>
              <w:rPr>
                <w:b/>
                <w:sz w:val="17"/>
              </w:rPr>
            </w:r>
            <w:r>
              <w:rPr>
                <w:b/>
                <w:sz w:val="17"/>
              </w:rPr>
              <w:t>Segments</w:t>
            </w:r>
          </w:p>
        </w:tc>
      </w:tr>
      <w:tr>
        <w:tc>
          <w:tcPr>
            <w:tcW w:type="dxa" w:w="1152"/>
          </w:tcPr>
          <w:p>
            <w:pPr>
              <w:pStyle w:val="BodyText"/>
              <w:spacing w:after="20" w:before="20"/>
            </w:pPr>
            <w:r>
              <w:rPr>
                <w:sz w:val="17"/>
              </w:rPr>
            </w:r>
            <w:r>
              <w:rPr>
                <w:sz w:val="17"/>
              </w:rPr>
              <w:t>sala</w:t>
            </w:r>
          </w:p>
        </w:tc>
        <w:tc>
          <w:tcPr>
            <w:tcW w:type="dxa" w:w="1008"/>
          </w:tcPr>
          <w:p>
            <w:pPr>
              <w:pStyle w:val="BodyText"/>
              <w:spacing w:after="20" w:before="20"/>
            </w:pPr>
            <w:r>
              <w:rPr>
                <w:sz w:val="17"/>
              </w:rPr>
            </w:r>
            <w:r>
              <w:rPr>
                <w:sz w:val="17"/>
              </w:rPr>
              <w:t>446</w:t>
            </w:r>
          </w:p>
        </w:tc>
        <w:tc>
          <w:tcPr>
            <w:tcW w:type="dxa" w:w="1440"/>
          </w:tcPr>
          <w:p>
            <w:pPr>
              <w:pStyle w:val="BodyText"/>
              <w:spacing w:after="20" w:before="20"/>
            </w:pPr>
            <w:r>
              <w:rPr>
                <w:sz w:val="17"/>
              </w:rPr>
            </w:r>
            <w:r>
              <w:rPr>
                <w:sz w:val="17"/>
              </w:rPr>
              <w:t>1600×1200</w:t>
            </w:r>
          </w:p>
        </w:tc>
        <w:tc>
          <w:tcPr>
            <w:tcW w:type="dxa" w:w="5616"/>
          </w:tcPr>
          <w:p>
            <w:pPr>
              <w:pStyle w:val="BodyText"/>
              <w:spacing w:after="20" w:before="20"/>
            </w:pPr>
            <w:r>
              <w:rPr>
                <w:sz w:val="17"/>
              </w:rPr>
            </w:r>
            <w:r>
              <w:rPr>
                <w:sz w:val="17"/>
              </w:rPr>
              <w:t>Sala 360 (264), Sala 360 Near (89), Sala Inside (93)</w:t>
            </w:r>
          </w:p>
        </w:tc>
      </w:tr>
      <w:tr>
        <w:tc>
          <w:tcPr>
            <w:tcW w:type="dxa" w:w="1152"/>
          </w:tcPr>
          <w:p>
            <w:pPr>
              <w:pStyle w:val="BodyText"/>
              <w:spacing w:after="20" w:before="20"/>
            </w:pPr>
            <w:r>
              <w:rPr>
                <w:sz w:val="17"/>
              </w:rPr>
            </w:r>
            <w:r>
              <w:rPr>
                <w:sz w:val="17"/>
              </w:rPr>
              <w:t>lamp</w:t>
            </w:r>
          </w:p>
        </w:tc>
        <w:tc>
          <w:tcPr>
            <w:tcW w:type="dxa" w:w="1008"/>
          </w:tcPr>
          <w:p>
            <w:pPr>
              <w:pStyle w:val="BodyText"/>
              <w:spacing w:after="20" w:before="20"/>
            </w:pPr>
            <w:r>
              <w:rPr>
                <w:sz w:val="17"/>
              </w:rPr>
            </w:r>
            <w:r>
              <w:rPr>
                <w:sz w:val="17"/>
              </w:rPr>
              <w:t>100</w:t>
            </w:r>
          </w:p>
        </w:tc>
        <w:tc>
          <w:tcPr>
            <w:tcW w:type="dxa" w:w="1440"/>
          </w:tcPr>
          <w:p>
            <w:pPr>
              <w:pStyle w:val="BodyText"/>
              <w:spacing w:after="20" w:before="20"/>
            </w:pPr>
            <w:r>
              <w:rPr>
                <w:sz w:val="17"/>
              </w:rPr>
            </w:r>
            <w:r>
              <w:rPr>
                <w:sz w:val="17"/>
              </w:rPr>
              <w:t>1200×1600</w:t>
            </w:r>
          </w:p>
        </w:tc>
        <w:tc>
          <w:tcPr>
            <w:tcW w:type="dxa" w:w="5616"/>
          </w:tcPr>
          <w:p>
            <w:pPr>
              <w:pStyle w:val="BodyText"/>
              <w:spacing w:after="20" w:before="20"/>
            </w:pPr>
            <w:r>
              <w:rPr>
                <w:sz w:val="17"/>
              </w:rPr>
            </w:r>
            <w:r>
              <w:rPr>
                <w:sz w:val="17"/>
              </w:rPr>
              <w:t>Higher (30), Middle (33), Lower (37)</w:t>
            </w:r>
          </w:p>
        </w:tc>
      </w:tr>
      <w:tr>
        <w:tc>
          <w:tcPr>
            <w:tcW w:type="dxa" w:w="1152"/>
          </w:tcPr>
          <w:p>
            <w:pPr>
              <w:pStyle w:val="BodyText"/>
              <w:spacing w:after="20" w:before="20"/>
            </w:pPr>
            <w:r>
              <w:rPr>
                <w:sz w:val="17"/>
              </w:rPr>
            </w:r>
            <w:r>
              <w:rPr>
                <w:sz w:val="17"/>
              </w:rPr>
              <w:t>far</w:t>
            </w:r>
          </w:p>
        </w:tc>
        <w:tc>
          <w:tcPr>
            <w:tcW w:type="dxa" w:w="1008"/>
          </w:tcPr>
          <w:p>
            <w:pPr>
              <w:pStyle w:val="BodyText"/>
              <w:spacing w:after="20" w:before="20"/>
            </w:pPr>
            <w:r>
              <w:rPr>
                <w:sz w:val="17"/>
              </w:rPr>
            </w:r>
            <w:r>
              <w:rPr>
                <w:sz w:val="17"/>
              </w:rPr>
              <w:t>171</w:t>
            </w:r>
          </w:p>
        </w:tc>
        <w:tc>
          <w:tcPr>
            <w:tcW w:type="dxa" w:w="1440"/>
          </w:tcPr>
          <w:p>
            <w:pPr>
              <w:pStyle w:val="BodyText"/>
              <w:spacing w:after="20" w:before="20"/>
            </w:pPr>
            <w:r>
              <w:rPr>
                <w:sz w:val="17"/>
              </w:rPr>
            </w:r>
            <w:r>
              <w:rPr>
                <w:sz w:val="17"/>
              </w:rPr>
              <w:t>1600×1200</w:t>
            </w:r>
          </w:p>
        </w:tc>
        <w:tc>
          <w:tcPr>
            <w:tcW w:type="dxa" w:w="5616"/>
          </w:tcPr>
          <w:p>
            <w:pPr>
              <w:pStyle w:val="BodyText"/>
              <w:spacing w:after="20" w:before="20"/>
            </w:pPr>
            <w:r>
              <w:rPr>
                <w:sz w:val="17"/>
              </w:rPr>
            </w:r>
            <w:r>
              <w:rPr>
                <w:sz w:val="17"/>
              </w:rPr>
              <w:t>not yet trained</w:t>
            </w:r>
          </w:p>
        </w:tc>
      </w:tr>
    </w:tbl>
    <w:p>
      <w:pPr>
        <w:pStyle w:val="BodyText"/>
        <w:spacing w:after="80"/>
      </w:pPr>
    </w:p>
    <w:p>
      <w:pPr>
        <w:pStyle w:val="Heading1"/>
      </w:pPr>
      <w:r>
        <w:t>Attempt Log</w:t>
      </w:r>
    </w:p>
    <w:p>
      <w:pPr>
        <w:pStyle w:val="tablehead"/>
        <w:jc w:val="center"/>
      </w:pPr>
      <w:r>
        <w:t>TABLE 6.  Runs in this round.</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530"/>
        <w:gridCol w:w="2530"/>
        <w:gridCol w:w="2530"/>
        <w:gridCol w:w="2530"/>
      </w:tblGrid>
      <w:tr>
        <w:tc>
          <w:tcPr>
            <w:tcW w:type="dxa" w:w="504"/>
            <w:shd w:val="clear" w:fill="EFEFEC"/>
          </w:tcPr>
          <w:p>
            <w:pPr>
              <w:pStyle w:val="BodyText"/>
              <w:spacing w:after="20" w:before="20"/>
            </w:pPr>
            <w:r>
              <w:rPr>
                <w:b/>
                <w:sz w:val="17"/>
              </w:rPr>
            </w:r>
            <w:r>
              <w:rPr>
                <w:b/>
                <w:sz w:val="17"/>
              </w:rPr>
              <w:t>#</w:t>
            </w:r>
          </w:p>
        </w:tc>
        <w:tc>
          <w:tcPr>
            <w:tcW w:type="dxa" w:w="1008"/>
            <w:shd w:val="clear" w:fill="EFEFEC"/>
          </w:tcPr>
          <w:p>
            <w:pPr>
              <w:pStyle w:val="BodyText"/>
              <w:spacing w:after="20" w:before="20"/>
            </w:pPr>
            <w:r>
              <w:rPr>
                <w:b/>
                <w:sz w:val="17"/>
              </w:rPr>
            </w:r>
            <w:r>
              <w:rPr>
                <w:b/>
                <w:sz w:val="17"/>
              </w:rPr>
              <w:t>Date</w:t>
            </w:r>
          </w:p>
        </w:tc>
        <w:tc>
          <w:tcPr>
            <w:tcW w:type="dxa" w:w="1152"/>
            <w:shd w:val="clear" w:fill="EFEFEC"/>
          </w:tcPr>
          <w:p>
            <w:pPr>
              <w:pStyle w:val="BodyText"/>
              <w:spacing w:after="20" w:before="20"/>
            </w:pPr>
            <w:r>
              <w:rPr>
                <w:b/>
                <w:sz w:val="17"/>
              </w:rPr>
            </w:r>
            <w:r>
              <w:rPr>
                <w:b/>
                <w:sz w:val="17"/>
              </w:rPr>
              <w:t>Subject</w:t>
            </w:r>
          </w:p>
        </w:tc>
        <w:tc>
          <w:tcPr>
            <w:tcW w:type="dxa" w:w="6336"/>
            <w:shd w:val="clear" w:fill="EFEFEC"/>
          </w:tcPr>
          <w:p>
            <w:pPr>
              <w:pStyle w:val="BodyText"/>
              <w:spacing w:after="20" w:before="20"/>
            </w:pPr>
            <w:r>
              <w:rPr>
                <w:b/>
                <w:sz w:val="17"/>
              </w:rPr>
            </w:r>
            <w:r>
              <w:rPr>
                <w:b/>
                <w:sz w:val="17"/>
              </w:rPr>
              <w:t>Outcome</w:t>
            </w:r>
          </w:p>
        </w:tc>
      </w:tr>
      <w:tr>
        <w:tc>
          <w:tcPr>
            <w:tcW w:type="dxa" w:w="504"/>
          </w:tcPr>
          <w:p>
            <w:pPr>
              <w:pStyle w:val="BodyText"/>
              <w:spacing w:after="20" w:before="20"/>
            </w:pPr>
            <w:r>
              <w:rPr>
                <w:sz w:val="17"/>
              </w:rPr>
            </w:r>
            <w:r>
              <w:rPr>
                <w:sz w:val="17"/>
              </w:rPr>
              <w:t>1</w:t>
            </w:r>
          </w:p>
        </w:tc>
        <w:tc>
          <w:tcPr>
            <w:tcW w:type="dxa" w:w="1008"/>
          </w:tcPr>
          <w:p>
            <w:pPr>
              <w:pStyle w:val="BodyText"/>
              <w:spacing w:after="20" w:before="20"/>
            </w:pPr>
            <w:r>
              <w:rPr>
                <w:sz w:val="17"/>
              </w:rPr>
            </w:r>
            <w:r>
              <w:rPr>
                <w:sz w:val="17"/>
              </w:rPr>
              <w:t>7 Sep</w:t>
            </w:r>
          </w:p>
        </w:tc>
        <w:tc>
          <w:tcPr>
            <w:tcW w:type="dxa" w:w="1152"/>
          </w:tcPr>
          <w:p>
            <w:pPr>
              <w:pStyle w:val="BodyText"/>
              <w:spacing w:after="20" w:before="20"/>
            </w:pPr>
            <w:r>
              <w:rPr>
                <w:sz w:val="17"/>
              </w:rPr>
            </w:r>
            <w:r>
              <w:rPr>
                <w:sz w:val="17"/>
              </w:rPr>
              <w:t>lamp</w:t>
            </w:r>
          </w:p>
        </w:tc>
        <w:tc>
          <w:tcPr>
            <w:tcW w:type="dxa" w:w="6336"/>
          </w:tcPr>
          <w:p>
            <w:pPr>
              <w:pStyle w:val="BodyText"/>
              <w:spacing w:after="20" w:before="20"/>
            </w:pPr>
            <w:r>
              <w:rPr>
                <w:sz w:val="17"/>
              </w:rPr>
            </w:r>
            <w:r>
              <w:rPr>
                <w:b/>
                <w:sz w:val="17"/>
              </w:rPr>
              <w:t>Failed at training.</w:t>
            </w:r>
            <w:r>
              <w:rPr>
                <w:sz w:val="17"/>
              </w:rPr>
              <w:t xml:space="preserve"> FileNotFoundError: sparse/0/images.bin</w:t>
            </w:r>
          </w:p>
        </w:tc>
      </w:tr>
      <w:tr>
        <w:tc>
          <w:tcPr>
            <w:tcW w:type="dxa" w:w="504"/>
          </w:tcPr>
          <w:p>
            <w:pPr>
              <w:pStyle w:val="BodyText"/>
              <w:spacing w:after="20" w:before="20"/>
            </w:pPr>
            <w:r>
              <w:rPr>
                <w:sz w:val="17"/>
              </w:rPr>
            </w:r>
            <w:r>
              <w:rPr>
                <w:sz w:val="17"/>
              </w:rPr>
              <w:t>2</w:t>
            </w:r>
          </w:p>
        </w:tc>
        <w:tc>
          <w:tcPr>
            <w:tcW w:type="dxa" w:w="1008"/>
          </w:tcPr>
          <w:p>
            <w:pPr>
              <w:pStyle w:val="BodyText"/>
              <w:spacing w:after="20" w:before="20"/>
            </w:pPr>
            <w:r>
              <w:rPr>
                <w:sz w:val="17"/>
              </w:rPr>
            </w:r>
            <w:r>
              <w:rPr>
                <w:sz w:val="17"/>
              </w:rPr>
              <w:t>7 Sep</w:t>
            </w:r>
          </w:p>
        </w:tc>
        <w:tc>
          <w:tcPr>
            <w:tcW w:type="dxa" w:w="1152"/>
          </w:tcPr>
          <w:p>
            <w:pPr>
              <w:pStyle w:val="BodyText"/>
              <w:spacing w:after="20" w:before="20"/>
            </w:pPr>
            <w:r>
              <w:rPr>
                <w:sz w:val="17"/>
              </w:rPr>
            </w:r>
            <w:r>
              <w:rPr>
                <w:sz w:val="17"/>
              </w:rPr>
              <w:t>lamp</w:t>
            </w:r>
          </w:p>
        </w:tc>
        <w:tc>
          <w:tcPr>
            <w:tcW w:type="dxa" w:w="6336"/>
          </w:tcPr>
          <w:p>
            <w:pPr>
              <w:pStyle w:val="BodyText"/>
              <w:spacing w:after="20" w:before="20"/>
            </w:pPr>
            <w:r>
              <w:rPr>
                <w:sz w:val="17"/>
              </w:rPr>
            </w:r>
            <w:r>
              <w:rPr>
                <w:b/>
                <w:sz w:val="17"/>
              </w:rPr>
              <w:t>Succeeded.</w:t>
            </w:r>
            <w:r>
              <w:rPr>
                <w:sz w:val="17"/>
              </w:rPr>
              <w:t xml:space="preserve"> 1 h 35 m 35 s wall clock, 1.97 GB output</w:t>
            </w:r>
          </w:p>
        </w:tc>
      </w:tr>
      <w:tr>
        <w:tc>
          <w:tcPr>
            <w:tcW w:type="dxa" w:w="504"/>
          </w:tcPr>
          <w:p>
            <w:pPr>
              <w:pStyle w:val="BodyText"/>
              <w:spacing w:after="20" w:before="20"/>
            </w:pPr>
            <w:r>
              <w:rPr>
                <w:sz w:val="17"/>
              </w:rPr>
            </w:r>
            <w:r>
              <w:rPr>
                <w:sz w:val="17"/>
              </w:rPr>
              <w:t>3</w:t>
            </w:r>
          </w:p>
        </w:tc>
        <w:tc>
          <w:tcPr>
            <w:tcW w:type="dxa" w:w="1008"/>
          </w:tcPr>
          <w:p>
            <w:pPr>
              <w:pStyle w:val="BodyText"/>
              <w:spacing w:after="20" w:before="20"/>
            </w:pPr>
            <w:r>
              <w:rPr>
                <w:sz w:val="17"/>
              </w:rPr>
            </w:r>
            <w:r>
              <w:rPr>
                <w:sz w:val="17"/>
              </w:rPr>
              <w:t>7 Sep</w:t>
            </w:r>
          </w:p>
        </w:tc>
        <w:tc>
          <w:tcPr>
            <w:tcW w:type="dxa" w:w="1152"/>
          </w:tcPr>
          <w:p>
            <w:pPr>
              <w:pStyle w:val="BodyText"/>
              <w:spacing w:after="20" w:before="20"/>
            </w:pPr>
            <w:r>
              <w:rPr>
                <w:sz w:val="17"/>
              </w:rPr>
            </w:r>
            <w:r>
              <w:rPr>
                <w:sz w:val="17"/>
              </w:rPr>
              <w:t>sala</w:t>
            </w:r>
          </w:p>
        </w:tc>
        <w:tc>
          <w:tcPr>
            <w:tcW w:type="dxa" w:w="6336"/>
          </w:tcPr>
          <w:p>
            <w:pPr>
              <w:pStyle w:val="BodyText"/>
              <w:spacing w:after="20" w:before="20"/>
            </w:pPr>
            <w:r>
              <w:rPr>
                <w:sz w:val="17"/>
              </w:rPr>
            </w:r>
            <w:r>
              <w:rPr>
                <w:b/>
                <w:sz w:val="17"/>
              </w:rPr>
              <w:t>Succeeded.</w:t>
            </w:r>
            <w:r>
              <w:rPr>
                <w:sz w:val="17"/>
              </w:rPr>
              <w:t xml:space="preserve"> 1 h 43 m 16 s of training alone</w:t>
            </w:r>
          </w:p>
        </w:tc>
      </w:tr>
    </w:tbl>
    <w:p>
      <w:pPr>
        <w:pStyle w:val="BodyText"/>
        <w:spacing w:after="80"/>
      </w:pPr>
    </w:p>
    <w:p>
      <w:pPr>
        <w:pStyle w:val="BodyText"/>
      </w:pPr>
      <w:r>
        <w:t>No run in this round produced a folded or geometrically wrong reconstruction. That is the difference between this week and the five attempts documented in the failure analysis. The fold diagnostic — maximum consecutive-camera step divided by the median step, scale-invariant, with a healthy reference of 7.0 from the clean 146-image capture — reports:</w:t>
      </w:r>
    </w:p>
    <w:p>
      <w:pPr>
        <w:pStyle w:val="tablehead"/>
        <w:jc w:val="center"/>
      </w:pPr>
      <w:r>
        <w:t>TABLE 7.  Fold ratios. The failed combined runs reported 102.2 and 36.0.</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024"/>
        <w:gridCol w:w="2024"/>
        <w:gridCol w:w="2024"/>
        <w:gridCol w:w="2024"/>
        <w:gridCol w:w="2024"/>
      </w:tblGrid>
      <w:tr>
        <w:tc>
          <w:tcPr>
            <w:tcW w:type="dxa" w:w="1296"/>
            <w:shd w:val="clear" w:fill="EFEFEC"/>
          </w:tcPr>
          <w:p>
            <w:pPr>
              <w:pStyle w:val="BodyText"/>
              <w:spacing w:after="20" w:before="20"/>
            </w:pPr>
            <w:r>
              <w:rPr>
                <w:b/>
                <w:sz w:val="17"/>
              </w:rPr>
            </w:r>
            <w:r>
              <w:rPr>
                <w:b/>
                <w:sz w:val="17"/>
              </w:rPr>
              <w:t>Capture</w:t>
            </w:r>
          </w:p>
        </w:tc>
        <w:tc>
          <w:tcPr>
            <w:tcW w:type="dxa" w:w="2304"/>
            <w:shd w:val="clear" w:fill="EFEFEC"/>
          </w:tcPr>
          <w:p>
            <w:pPr>
              <w:pStyle w:val="BodyText"/>
              <w:spacing w:after="20" w:before="20"/>
            </w:pPr>
            <w:r>
              <w:rPr>
                <w:b/>
                <w:sz w:val="17"/>
              </w:rPr>
            </w:r>
            <w:r>
              <w:rPr>
                <w:b/>
                <w:sz w:val="17"/>
              </w:rPr>
              <w:t>Segment</w:t>
            </w:r>
          </w:p>
        </w:tc>
        <w:tc>
          <w:tcPr>
            <w:tcW w:type="dxa" w:w="1152"/>
            <w:shd w:val="clear" w:fill="EFEFEC"/>
          </w:tcPr>
          <w:p>
            <w:pPr>
              <w:pStyle w:val="BodyText"/>
              <w:spacing w:after="20" w:before="20"/>
            </w:pPr>
            <w:r>
              <w:rPr>
                <w:b/>
                <w:sz w:val="17"/>
              </w:rPr>
            </w:r>
            <w:r>
              <w:rPr>
                <w:b/>
                <w:sz w:val="17"/>
              </w:rPr>
              <w:t>Frames</w:t>
            </w:r>
          </w:p>
        </w:tc>
        <w:tc>
          <w:tcPr>
            <w:tcW w:type="dxa" w:w="1872"/>
            <w:shd w:val="clear" w:fill="EFEFEC"/>
          </w:tcPr>
          <w:p>
            <w:pPr>
              <w:pStyle w:val="BodyText"/>
              <w:spacing w:after="20" w:before="20"/>
            </w:pPr>
            <w:r>
              <w:rPr>
                <w:b/>
                <w:sz w:val="17"/>
              </w:rPr>
            </w:r>
            <w:r>
              <w:rPr>
                <w:b/>
                <w:sz w:val="17"/>
              </w:rPr>
              <w:t>max/median</w:t>
            </w:r>
          </w:p>
        </w:tc>
        <w:tc>
          <w:tcPr>
            <w:tcW w:type="dxa" w:w="1872"/>
            <w:shd w:val="clear" w:fill="EFEFEC"/>
          </w:tcPr>
          <w:p>
            <w:pPr>
              <w:pStyle w:val="BodyText"/>
              <w:spacing w:after="20" w:before="20"/>
            </w:pPr>
            <w:r>
              <w:rPr>
                <w:b/>
                <w:sz w:val="17"/>
              </w:rPr>
            </w:r>
            <w:r>
              <w:rPr>
                <w:b/>
                <w:sz w:val="17"/>
              </w:rPr>
              <w:t>Jumps &gt; 5×</w:t>
            </w:r>
          </w:p>
        </w:tc>
      </w:tr>
      <w:tr>
        <w:tc>
          <w:tcPr>
            <w:tcW w:type="dxa" w:w="1296"/>
          </w:tcPr>
          <w:p>
            <w:pPr>
              <w:pStyle w:val="BodyText"/>
              <w:spacing w:after="20" w:before="20"/>
            </w:pPr>
            <w:r>
              <w:rPr>
                <w:sz w:val="17"/>
              </w:rPr>
            </w:r>
            <w:r>
              <w:rPr>
                <w:sz w:val="17"/>
              </w:rPr>
              <w:t>Sala</w:t>
            </w:r>
          </w:p>
        </w:tc>
        <w:tc>
          <w:tcPr>
            <w:tcW w:type="dxa" w:w="2304"/>
          </w:tcPr>
          <w:p>
            <w:pPr>
              <w:pStyle w:val="BodyText"/>
              <w:spacing w:after="20" w:before="20"/>
            </w:pPr>
            <w:r>
              <w:rPr>
                <w:sz w:val="17"/>
              </w:rPr>
            </w:r>
            <w:r>
              <w:rPr>
                <w:sz w:val="17"/>
              </w:rPr>
              <w:t>Sala 360</w:t>
            </w:r>
          </w:p>
        </w:tc>
        <w:tc>
          <w:tcPr>
            <w:tcW w:type="dxa" w:w="1152"/>
          </w:tcPr>
          <w:p>
            <w:pPr>
              <w:pStyle w:val="BodyText"/>
              <w:spacing w:after="20" w:before="20"/>
            </w:pPr>
            <w:r>
              <w:rPr>
                <w:sz w:val="17"/>
              </w:rPr>
            </w:r>
            <w:r>
              <w:rPr>
                <w:sz w:val="17"/>
              </w:rPr>
              <w:t>264</w:t>
            </w:r>
          </w:p>
        </w:tc>
        <w:tc>
          <w:tcPr>
            <w:tcW w:type="dxa" w:w="1872"/>
          </w:tcPr>
          <w:p>
            <w:pPr>
              <w:pStyle w:val="BodyText"/>
              <w:spacing w:after="20" w:before="20"/>
            </w:pPr>
            <w:r>
              <w:rPr>
                <w:sz w:val="17"/>
              </w:rPr>
            </w:r>
            <w:r>
              <w:rPr>
                <w:sz w:val="17"/>
              </w:rPr>
              <w:t>10.0</w:t>
            </w:r>
          </w:p>
        </w:tc>
        <w:tc>
          <w:tcPr>
            <w:tcW w:type="dxa" w:w="1872"/>
          </w:tcPr>
          <w:p>
            <w:pPr>
              <w:pStyle w:val="BodyText"/>
              <w:spacing w:after="20" w:before="20"/>
            </w:pPr>
            <w:r>
              <w:rPr>
                <w:sz w:val="17"/>
              </w:rPr>
            </w:r>
            <w:r>
              <w:rPr>
                <w:sz w:val="17"/>
              </w:rPr>
              <w:t>2 (0.8%)</w:t>
            </w:r>
          </w:p>
        </w:tc>
      </w:tr>
      <w:tr>
        <w:tc>
          <w:tcPr>
            <w:tcW w:type="dxa" w:w="1296"/>
          </w:tcPr>
          <w:p>
            <w:pPr>
              <w:pStyle w:val="BodyText"/>
              <w:spacing w:after="20" w:before="20"/>
            </w:pPr>
            <w:r>
              <w:rPr>
                <w:sz w:val="17"/>
              </w:rPr>
            </w:r>
            <w:r>
              <w:rPr>
                <w:sz w:val="17"/>
              </w:rPr>
              <w:t>Sala</w:t>
            </w:r>
          </w:p>
        </w:tc>
        <w:tc>
          <w:tcPr>
            <w:tcW w:type="dxa" w:w="2304"/>
          </w:tcPr>
          <w:p>
            <w:pPr>
              <w:pStyle w:val="BodyText"/>
              <w:spacing w:after="20" w:before="20"/>
            </w:pPr>
            <w:r>
              <w:rPr>
                <w:sz w:val="17"/>
              </w:rPr>
            </w:r>
            <w:r>
              <w:rPr>
                <w:sz w:val="17"/>
              </w:rPr>
              <w:t>Sala 360 Near</w:t>
            </w:r>
          </w:p>
        </w:tc>
        <w:tc>
          <w:tcPr>
            <w:tcW w:type="dxa" w:w="1152"/>
          </w:tcPr>
          <w:p>
            <w:pPr>
              <w:pStyle w:val="BodyText"/>
              <w:spacing w:after="20" w:before="20"/>
            </w:pPr>
            <w:r>
              <w:rPr>
                <w:sz w:val="17"/>
              </w:rPr>
            </w:r>
            <w:r>
              <w:rPr>
                <w:sz w:val="17"/>
              </w:rPr>
              <w:t>89</w:t>
            </w:r>
          </w:p>
        </w:tc>
        <w:tc>
          <w:tcPr>
            <w:tcW w:type="dxa" w:w="1872"/>
          </w:tcPr>
          <w:p>
            <w:pPr>
              <w:pStyle w:val="BodyText"/>
              <w:spacing w:after="20" w:before="20"/>
            </w:pPr>
            <w:r>
              <w:rPr>
                <w:sz w:val="17"/>
              </w:rPr>
            </w:r>
            <w:r>
              <w:rPr>
                <w:sz w:val="17"/>
              </w:rPr>
              <w:t>14.3</w:t>
            </w:r>
          </w:p>
        </w:tc>
        <w:tc>
          <w:tcPr>
            <w:tcW w:type="dxa" w:w="1872"/>
          </w:tcPr>
          <w:p>
            <w:pPr>
              <w:pStyle w:val="BodyText"/>
              <w:spacing w:after="20" w:before="20"/>
            </w:pPr>
            <w:r>
              <w:rPr>
                <w:sz w:val="17"/>
              </w:rPr>
            </w:r>
            <w:r>
              <w:rPr>
                <w:sz w:val="17"/>
              </w:rPr>
              <w:t>17 (19.3%)</w:t>
            </w:r>
          </w:p>
        </w:tc>
      </w:tr>
      <w:tr>
        <w:tc>
          <w:tcPr>
            <w:tcW w:type="dxa" w:w="1296"/>
          </w:tcPr>
          <w:p>
            <w:pPr>
              <w:pStyle w:val="BodyText"/>
              <w:spacing w:after="20" w:before="20"/>
            </w:pPr>
            <w:r>
              <w:rPr>
                <w:sz w:val="17"/>
              </w:rPr>
            </w:r>
            <w:r>
              <w:rPr>
                <w:sz w:val="17"/>
              </w:rPr>
              <w:t>Sala</w:t>
            </w:r>
          </w:p>
        </w:tc>
        <w:tc>
          <w:tcPr>
            <w:tcW w:type="dxa" w:w="2304"/>
          </w:tcPr>
          <w:p>
            <w:pPr>
              <w:pStyle w:val="BodyText"/>
              <w:spacing w:after="20" w:before="20"/>
            </w:pPr>
            <w:r>
              <w:rPr>
                <w:sz w:val="17"/>
              </w:rPr>
            </w:r>
            <w:r>
              <w:rPr>
                <w:sz w:val="17"/>
              </w:rPr>
              <w:t>Sala Inside</w:t>
            </w:r>
          </w:p>
        </w:tc>
        <w:tc>
          <w:tcPr>
            <w:tcW w:type="dxa" w:w="1152"/>
          </w:tcPr>
          <w:p>
            <w:pPr>
              <w:pStyle w:val="BodyText"/>
              <w:spacing w:after="20" w:before="20"/>
            </w:pPr>
            <w:r>
              <w:rPr>
                <w:sz w:val="17"/>
              </w:rPr>
            </w:r>
            <w:r>
              <w:rPr>
                <w:sz w:val="17"/>
              </w:rPr>
              <w:t>42</w:t>
            </w:r>
          </w:p>
        </w:tc>
        <w:tc>
          <w:tcPr>
            <w:tcW w:type="dxa" w:w="1872"/>
          </w:tcPr>
          <w:p>
            <w:pPr>
              <w:pStyle w:val="BodyText"/>
              <w:spacing w:after="20" w:before="20"/>
            </w:pPr>
            <w:r>
              <w:rPr>
                <w:sz w:val="17"/>
              </w:rPr>
            </w:r>
            <w:r>
              <w:rPr>
                <w:sz w:val="17"/>
              </w:rPr>
              <w:t>2.4</w:t>
            </w:r>
          </w:p>
        </w:tc>
        <w:tc>
          <w:tcPr>
            <w:tcW w:type="dxa" w:w="1872"/>
          </w:tcPr>
          <w:p>
            <w:pPr>
              <w:pStyle w:val="BodyText"/>
              <w:spacing w:after="20" w:before="20"/>
            </w:pPr>
            <w:r>
              <w:rPr>
                <w:sz w:val="17"/>
              </w:rPr>
            </w:r>
            <w:r>
              <w:rPr>
                <w:sz w:val="17"/>
              </w:rPr>
              <w:t>0</w:t>
            </w:r>
          </w:p>
        </w:tc>
      </w:tr>
      <w:tr>
        <w:tc>
          <w:tcPr>
            <w:tcW w:type="dxa" w:w="1296"/>
          </w:tcPr>
          <w:p>
            <w:pPr>
              <w:pStyle w:val="BodyText"/>
              <w:spacing w:after="20" w:before="20"/>
            </w:pPr>
            <w:r>
              <w:rPr>
                <w:sz w:val="17"/>
              </w:rPr>
            </w:r>
            <w:r>
              <w:rPr>
                <w:sz w:val="17"/>
              </w:rPr>
              <w:t>Lamp</w:t>
            </w:r>
          </w:p>
        </w:tc>
        <w:tc>
          <w:tcPr>
            <w:tcW w:type="dxa" w:w="2304"/>
          </w:tcPr>
          <w:p>
            <w:pPr>
              <w:pStyle w:val="BodyText"/>
              <w:spacing w:after="20" w:before="20"/>
            </w:pPr>
            <w:r>
              <w:rPr>
                <w:sz w:val="17"/>
              </w:rPr>
            </w:r>
            <w:r>
              <w:rPr>
                <w:sz w:val="17"/>
              </w:rPr>
              <w:t>Higher</w:t>
            </w:r>
          </w:p>
        </w:tc>
        <w:tc>
          <w:tcPr>
            <w:tcW w:type="dxa" w:w="1152"/>
          </w:tcPr>
          <w:p>
            <w:pPr>
              <w:pStyle w:val="BodyText"/>
              <w:spacing w:after="20" w:before="20"/>
            </w:pPr>
            <w:r>
              <w:rPr>
                <w:sz w:val="17"/>
              </w:rPr>
            </w:r>
            <w:r>
              <w:rPr>
                <w:sz w:val="17"/>
              </w:rPr>
              <w:t>30</w:t>
            </w:r>
          </w:p>
        </w:tc>
        <w:tc>
          <w:tcPr>
            <w:tcW w:type="dxa" w:w="1872"/>
          </w:tcPr>
          <w:p>
            <w:pPr>
              <w:pStyle w:val="BodyText"/>
              <w:spacing w:after="20" w:before="20"/>
            </w:pPr>
            <w:r>
              <w:rPr>
                <w:sz w:val="17"/>
              </w:rPr>
            </w:r>
            <w:r>
              <w:rPr>
                <w:sz w:val="17"/>
              </w:rPr>
              <w:t>3.7</w:t>
            </w:r>
          </w:p>
        </w:tc>
        <w:tc>
          <w:tcPr>
            <w:tcW w:type="dxa" w:w="1872"/>
          </w:tcPr>
          <w:p>
            <w:pPr>
              <w:pStyle w:val="BodyText"/>
              <w:spacing w:after="20" w:before="20"/>
            </w:pPr>
            <w:r>
              <w:rPr>
                <w:sz w:val="17"/>
              </w:rPr>
            </w:r>
            <w:r>
              <w:rPr>
                <w:sz w:val="17"/>
              </w:rPr>
              <w:t>0</w:t>
            </w:r>
          </w:p>
        </w:tc>
      </w:tr>
      <w:tr>
        <w:tc>
          <w:tcPr>
            <w:tcW w:type="dxa" w:w="1296"/>
          </w:tcPr>
          <w:p>
            <w:pPr>
              <w:pStyle w:val="BodyText"/>
              <w:spacing w:after="20" w:before="20"/>
            </w:pPr>
            <w:r>
              <w:rPr>
                <w:sz w:val="17"/>
              </w:rPr>
            </w:r>
            <w:r>
              <w:rPr>
                <w:sz w:val="17"/>
              </w:rPr>
              <w:t>Lamp</w:t>
            </w:r>
          </w:p>
        </w:tc>
        <w:tc>
          <w:tcPr>
            <w:tcW w:type="dxa" w:w="2304"/>
          </w:tcPr>
          <w:p>
            <w:pPr>
              <w:pStyle w:val="BodyText"/>
              <w:spacing w:after="20" w:before="20"/>
            </w:pPr>
            <w:r>
              <w:rPr>
                <w:sz w:val="17"/>
              </w:rPr>
            </w:r>
            <w:r>
              <w:rPr>
                <w:sz w:val="17"/>
              </w:rPr>
              <w:t>Middle</w:t>
            </w:r>
          </w:p>
        </w:tc>
        <w:tc>
          <w:tcPr>
            <w:tcW w:type="dxa" w:w="1152"/>
          </w:tcPr>
          <w:p>
            <w:pPr>
              <w:pStyle w:val="BodyText"/>
              <w:spacing w:after="20" w:before="20"/>
            </w:pPr>
            <w:r>
              <w:rPr>
                <w:sz w:val="17"/>
              </w:rPr>
            </w:r>
            <w:r>
              <w:rPr>
                <w:sz w:val="17"/>
              </w:rPr>
              <w:t>33</w:t>
            </w:r>
          </w:p>
        </w:tc>
        <w:tc>
          <w:tcPr>
            <w:tcW w:type="dxa" w:w="1872"/>
          </w:tcPr>
          <w:p>
            <w:pPr>
              <w:pStyle w:val="BodyText"/>
              <w:spacing w:after="20" w:before="20"/>
            </w:pPr>
            <w:r>
              <w:rPr>
                <w:sz w:val="17"/>
              </w:rPr>
            </w:r>
            <w:r>
              <w:rPr>
                <w:sz w:val="17"/>
              </w:rPr>
              <w:t>2.9</w:t>
            </w:r>
          </w:p>
        </w:tc>
        <w:tc>
          <w:tcPr>
            <w:tcW w:type="dxa" w:w="1872"/>
          </w:tcPr>
          <w:p>
            <w:pPr>
              <w:pStyle w:val="BodyText"/>
              <w:spacing w:after="20" w:before="20"/>
            </w:pPr>
            <w:r>
              <w:rPr>
                <w:sz w:val="17"/>
              </w:rPr>
            </w:r>
            <w:r>
              <w:rPr>
                <w:sz w:val="17"/>
              </w:rPr>
              <w:t>0</w:t>
            </w:r>
          </w:p>
        </w:tc>
      </w:tr>
      <w:tr>
        <w:tc>
          <w:tcPr>
            <w:tcW w:type="dxa" w:w="1296"/>
          </w:tcPr>
          <w:p>
            <w:pPr>
              <w:pStyle w:val="BodyText"/>
              <w:spacing w:after="20" w:before="20"/>
            </w:pPr>
            <w:r>
              <w:rPr>
                <w:sz w:val="17"/>
              </w:rPr>
            </w:r>
            <w:r>
              <w:rPr>
                <w:sz w:val="17"/>
              </w:rPr>
              <w:t>Lamp</w:t>
            </w:r>
          </w:p>
        </w:tc>
        <w:tc>
          <w:tcPr>
            <w:tcW w:type="dxa" w:w="2304"/>
          </w:tcPr>
          <w:p>
            <w:pPr>
              <w:pStyle w:val="BodyText"/>
              <w:spacing w:after="20" w:before="20"/>
            </w:pPr>
            <w:r>
              <w:rPr>
                <w:sz w:val="17"/>
              </w:rPr>
            </w:r>
            <w:r>
              <w:rPr>
                <w:sz w:val="17"/>
              </w:rPr>
              <w:t>Lower</w:t>
            </w:r>
          </w:p>
        </w:tc>
        <w:tc>
          <w:tcPr>
            <w:tcW w:type="dxa" w:w="1152"/>
          </w:tcPr>
          <w:p>
            <w:pPr>
              <w:pStyle w:val="BodyText"/>
              <w:spacing w:after="20" w:before="20"/>
            </w:pPr>
            <w:r>
              <w:rPr>
                <w:sz w:val="17"/>
              </w:rPr>
            </w:r>
            <w:r>
              <w:rPr>
                <w:sz w:val="17"/>
              </w:rPr>
              <w:t>37</w:t>
            </w:r>
          </w:p>
        </w:tc>
        <w:tc>
          <w:tcPr>
            <w:tcW w:type="dxa" w:w="1872"/>
          </w:tcPr>
          <w:p>
            <w:pPr>
              <w:pStyle w:val="BodyText"/>
              <w:spacing w:after="20" w:before="20"/>
            </w:pPr>
            <w:r>
              <w:rPr>
                <w:sz w:val="17"/>
              </w:rPr>
            </w:r>
            <w:r>
              <w:rPr>
                <w:sz w:val="17"/>
              </w:rPr>
              <w:t>2.4</w:t>
            </w:r>
          </w:p>
        </w:tc>
        <w:tc>
          <w:tcPr>
            <w:tcW w:type="dxa" w:w="1872"/>
          </w:tcPr>
          <w:p>
            <w:pPr>
              <w:pStyle w:val="BodyText"/>
              <w:spacing w:after="20" w:before="20"/>
            </w:pPr>
            <w:r>
              <w:rPr>
                <w:sz w:val="17"/>
              </w:rPr>
            </w:r>
            <w:r>
              <w:rPr>
                <w:sz w:val="17"/>
              </w:rPr>
              <w:t>0</w:t>
            </w:r>
          </w:p>
        </w:tc>
      </w:tr>
    </w:tbl>
    <w:p>
      <w:pPr>
        <w:pStyle w:val="BodyText"/>
        <w:spacing w:after="80"/>
      </w:pPr>
    </w:p>
    <w:p>
      <w:pPr>
        <w:pStyle w:val="BodyText"/>
      </w:pPr>
      <w:r>
        <w:rPr>
          <w:b/>
        </w:rPr>
        <w:t>Sala 360 Near is the one number to keep an eye on:</w:t>
      </w:r>
      <w:r>
        <w:t xml:space="preserve"> at 14.3, with 19.3% of its steps beyond five times the median, it sits just under the 15.0 gate, and it passed on a threshold the failure analysis itself called arbitrary. It is a near-orbit of a large building where the photographer’s distance changes sharply, so a genuine walk break is the likelier explanation than a fold — but it was not independently verified, and it should not be quoted as if it had been.</w:t>
      </w:r>
    </w:p>
    <w:p>
      <w:pPr>
        <w:pStyle w:val="Heading1"/>
      </w:pPr>
      <w:r>
        <w:t>The Defect That Stopped the First Run</w:t>
      </w:r>
    </w:p>
    <w:p>
      <w:pPr>
        <w:pStyle w:val="BodyText"/>
      </w:pPr>
      <w:r>
        <w:t>colmap image_undistorter --output_type COLMAP writes its output as sparse/{cameras,images,points3D}.bin, flat. The 3DGS function readColmapSceneInfo reads sparse/0/, a path it hardcodes. The undistorted scene was therefore invisible to the trainer and the run died three hours in, after all the expensive work had completed.</w:t>
      </w:r>
    </w:p>
    <w:p>
      <w:pPr>
        <w:pStyle w:val="BodyText"/>
      </w:pPr>
      <w:r>
        <w:t xml:space="preserve">The reason this was not caught earlier is worth stating plainly: </w:t>
      </w:r>
      <w:r>
        <w:rPr>
          <w:b/>
        </w:rPr>
        <w:t>the undistort-to-train path had never once executed in this project.</w:t>
      </w:r>
      <w:r>
        <w:t xml:space="preserve"> Every earlier attempt died at the fold check before reaching it, and the one model that did train used a pre-made pinhole dataset that bypassed undistortion entirely. The defect was not a regression. It was a section of the pipeline that had never run.</w:t>
      </w:r>
    </w:p>
    <w:p>
      <w:pPr>
        <w:pStyle w:val="BodyText"/>
      </w:pPr>
      <w:r>
        <w:t>The fix is to move the files into sparse/0/ after undistortion, which is what the 3DGS repository’s own convert.py does. It was verified locally before re-running — COLMAP 4.1.1 over all 100 real lamp photographs, then loaded back through 3DGS’s own colmap_loader.py: 100 images, one PINHOLE camera at 1191×1588, 45,393 points at 0.434 px mean reprojection error. An assertion now fails at undistortion rather than three hours later.</w:t>
      </w:r>
    </w:p>
    <w:p>
      <w:pPr>
        <w:pStyle w:val="Heading1"/>
      </w:pPr>
      <w:r>
        <w:t>Results</w:t>
      </w:r>
    </w:p>
    <w:p>
      <w:pPr>
        <w:pStyle w:val="BodyText"/>
      </w:pPr>
      <w:r>
        <w:t>395 of 446 photographs, 30,000 iterations, NVIDIA T4 ×2, 1 h 43 m 16 s.</w:t>
      </w:r>
    </w:p>
    <w:p>
      <w:pPr>
        <w:pStyle w:val="tablehead"/>
        <w:jc w:val="center"/>
      </w:pPr>
      <w:r>
        <w:t>TABLE 8.  Measured results for both models.</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3456"/>
            <w:shd w:val="clear" w:fill="EFEFEC"/>
          </w:tcPr>
          <w:p>
            <w:pPr>
              <w:pStyle w:val="BodyText"/>
              <w:spacing w:after="20" w:before="20"/>
            </w:pPr>
            <w:r>
              <w:rPr>
                <w:b/>
                <w:sz w:val="17"/>
              </w:rPr>
            </w:r>
            <w:r>
              <w:rPr>
                <w:b/>
                <w:sz w:val="17"/>
              </w:rPr>
              <w:t>Metric</w:t>
            </w:r>
          </w:p>
        </w:tc>
        <w:tc>
          <w:tcPr>
            <w:tcW w:type="dxa" w:w="2880"/>
            <w:shd w:val="clear" w:fill="EFEFEC"/>
          </w:tcPr>
          <w:p>
            <w:pPr>
              <w:pStyle w:val="BodyText"/>
              <w:spacing w:after="20" w:before="20"/>
            </w:pPr>
            <w:r>
              <w:rPr>
                <w:b/>
                <w:sz w:val="17"/>
              </w:rPr>
            </w:r>
            <w:r>
              <w:rPr>
                <w:b/>
                <w:sz w:val="17"/>
              </w:rPr>
              <w:t>Sala</w:t>
            </w:r>
          </w:p>
        </w:tc>
        <w:tc>
          <w:tcPr>
            <w:tcW w:type="dxa" w:w="2880"/>
            <w:shd w:val="clear" w:fill="EFEFEC"/>
          </w:tcPr>
          <w:p>
            <w:pPr>
              <w:pStyle w:val="BodyText"/>
              <w:spacing w:after="20" w:before="20"/>
            </w:pPr>
            <w:r>
              <w:rPr>
                <w:b/>
                <w:sz w:val="17"/>
              </w:rPr>
            </w:r>
            <w:r>
              <w:rPr>
                <w:b/>
                <w:sz w:val="17"/>
              </w:rPr>
              <w:t>Lamp</w:t>
            </w:r>
          </w:p>
        </w:tc>
      </w:tr>
      <w:tr>
        <w:tc>
          <w:tcPr>
            <w:tcW w:type="dxa" w:w="3456"/>
          </w:tcPr>
          <w:p>
            <w:pPr>
              <w:pStyle w:val="BodyText"/>
              <w:spacing w:after="20" w:before="20"/>
            </w:pPr>
            <w:r>
              <w:rPr>
                <w:sz w:val="17"/>
              </w:rPr>
            </w:r>
            <w:r>
              <w:rPr>
                <w:sz w:val="17"/>
              </w:rPr>
              <w:t>PSNR</w:t>
            </w:r>
          </w:p>
        </w:tc>
        <w:tc>
          <w:tcPr>
            <w:tcW w:type="dxa" w:w="2880"/>
          </w:tcPr>
          <w:p>
            <w:pPr>
              <w:pStyle w:val="BodyText"/>
              <w:spacing w:after="20" w:before="20"/>
            </w:pPr>
            <w:r>
              <w:rPr>
                <w:sz w:val="17"/>
              </w:rPr>
            </w:r>
            <w:r>
              <w:rPr>
                <w:sz w:val="17"/>
              </w:rPr>
              <w:t>20.096 dB</w:t>
            </w:r>
          </w:p>
        </w:tc>
        <w:tc>
          <w:tcPr>
            <w:tcW w:type="dxa" w:w="2880"/>
          </w:tcPr>
          <w:p>
            <w:pPr>
              <w:pStyle w:val="BodyText"/>
              <w:spacing w:after="20" w:before="20"/>
            </w:pPr>
            <w:r>
              <w:rPr>
                <w:sz w:val="17"/>
              </w:rPr>
            </w:r>
            <w:r>
              <w:rPr>
                <w:sz w:val="17"/>
              </w:rPr>
              <w:t>15.932 dB</w:t>
            </w:r>
          </w:p>
        </w:tc>
      </w:tr>
      <w:tr>
        <w:tc>
          <w:tcPr>
            <w:tcW w:type="dxa" w:w="3456"/>
          </w:tcPr>
          <w:p>
            <w:pPr>
              <w:pStyle w:val="BodyText"/>
              <w:spacing w:after="20" w:before="20"/>
            </w:pPr>
            <w:r>
              <w:rPr>
                <w:sz w:val="17"/>
              </w:rPr>
            </w:r>
            <w:r>
              <w:rPr>
                <w:sz w:val="17"/>
              </w:rPr>
              <w:t>SSIM</w:t>
            </w:r>
          </w:p>
        </w:tc>
        <w:tc>
          <w:tcPr>
            <w:tcW w:type="dxa" w:w="2880"/>
          </w:tcPr>
          <w:p>
            <w:pPr>
              <w:pStyle w:val="BodyText"/>
              <w:spacing w:after="20" w:before="20"/>
            </w:pPr>
            <w:r>
              <w:rPr>
                <w:sz w:val="17"/>
              </w:rPr>
            </w:r>
            <w:r>
              <w:rPr>
                <w:sz w:val="17"/>
              </w:rPr>
              <w:t>0.7392</w:t>
            </w:r>
          </w:p>
        </w:tc>
        <w:tc>
          <w:tcPr>
            <w:tcW w:type="dxa" w:w="2880"/>
          </w:tcPr>
          <w:p>
            <w:pPr>
              <w:pStyle w:val="BodyText"/>
              <w:spacing w:after="20" w:before="20"/>
            </w:pPr>
            <w:r>
              <w:rPr>
                <w:sz w:val="17"/>
              </w:rPr>
            </w:r>
            <w:r>
              <w:rPr>
                <w:sz w:val="17"/>
              </w:rPr>
              <w:t>0.7068</w:t>
            </w:r>
          </w:p>
        </w:tc>
      </w:tr>
      <w:tr>
        <w:tc>
          <w:tcPr>
            <w:tcW w:type="dxa" w:w="3456"/>
          </w:tcPr>
          <w:p>
            <w:pPr>
              <w:pStyle w:val="BodyText"/>
              <w:spacing w:after="20" w:before="20"/>
            </w:pPr>
            <w:r>
              <w:rPr>
                <w:sz w:val="17"/>
              </w:rPr>
            </w:r>
            <w:r>
              <w:rPr>
                <w:sz w:val="17"/>
              </w:rPr>
              <w:t>LPIPS</w:t>
            </w:r>
          </w:p>
        </w:tc>
        <w:tc>
          <w:tcPr>
            <w:tcW w:type="dxa" w:w="2880"/>
          </w:tcPr>
          <w:p>
            <w:pPr>
              <w:pStyle w:val="BodyText"/>
              <w:spacing w:after="20" w:before="20"/>
            </w:pPr>
            <w:r>
              <w:rPr>
                <w:sz w:val="17"/>
              </w:rPr>
            </w:r>
            <w:r>
              <w:rPr>
                <w:sz w:val="17"/>
              </w:rPr>
              <w:t>0.3418</w:t>
            </w:r>
          </w:p>
        </w:tc>
        <w:tc>
          <w:tcPr>
            <w:tcW w:type="dxa" w:w="2880"/>
          </w:tcPr>
          <w:p>
            <w:pPr>
              <w:pStyle w:val="BodyText"/>
              <w:spacing w:after="20" w:before="20"/>
            </w:pPr>
            <w:r>
              <w:rPr>
                <w:sz w:val="17"/>
              </w:rPr>
            </w:r>
            <w:r>
              <w:rPr>
                <w:sz w:val="17"/>
              </w:rPr>
              <w:t>0.3140</w:t>
            </w:r>
          </w:p>
        </w:tc>
      </w:tr>
      <w:tr>
        <w:tc>
          <w:tcPr>
            <w:tcW w:type="dxa" w:w="3456"/>
          </w:tcPr>
          <w:p>
            <w:pPr>
              <w:pStyle w:val="BodyText"/>
              <w:spacing w:after="20" w:before="20"/>
            </w:pPr>
            <w:r>
              <w:rPr>
                <w:sz w:val="17"/>
              </w:rPr>
            </w:r>
            <w:r>
              <w:rPr>
                <w:sz w:val="17"/>
              </w:rPr>
              <w:t>Held-out views</w:t>
            </w:r>
          </w:p>
        </w:tc>
        <w:tc>
          <w:tcPr>
            <w:tcW w:type="dxa" w:w="2880"/>
          </w:tcPr>
          <w:p>
            <w:pPr>
              <w:pStyle w:val="BodyText"/>
              <w:spacing w:after="20" w:before="20"/>
            </w:pPr>
            <w:r>
              <w:rPr>
                <w:sz w:val="17"/>
              </w:rPr>
            </w:r>
            <w:r>
              <w:rPr>
                <w:sz w:val="17"/>
              </w:rPr>
              <w:t>50</w:t>
            </w:r>
          </w:p>
        </w:tc>
        <w:tc>
          <w:tcPr>
            <w:tcW w:type="dxa" w:w="2880"/>
          </w:tcPr>
          <w:p>
            <w:pPr>
              <w:pStyle w:val="BodyText"/>
              <w:spacing w:after="20" w:before="20"/>
            </w:pPr>
            <w:r>
              <w:rPr>
                <w:sz w:val="17"/>
              </w:rPr>
            </w:r>
            <w:r>
              <w:rPr>
                <w:sz w:val="17"/>
              </w:rPr>
              <w:t>13</w:t>
            </w:r>
          </w:p>
        </w:tc>
      </w:tr>
      <w:tr>
        <w:tc>
          <w:tcPr>
            <w:tcW w:type="dxa" w:w="3456"/>
          </w:tcPr>
          <w:p>
            <w:pPr>
              <w:pStyle w:val="BodyText"/>
              <w:spacing w:after="20" w:before="20"/>
            </w:pPr>
            <w:r>
              <w:rPr>
                <w:sz w:val="17"/>
              </w:rPr>
            </w:r>
            <w:r>
              <w:rPr>
                <w:sz w:val="17"/>
              </w:rPr>
              <w:t>Per-view PSNR range</w:t>
            </w:r>
          </w:p>
        </w:tc>
        <w:tc>
          <w:tcPr>
            <w:tcW w:type="dxa" w:w="2880"/>
          </w:tcPr>
          <w:p>
            <w:pPr>
              <w:pStyle w:val="BodyText"/>
              <w:spacing w:after="20" w:before="20"/>
            </w:pPr>
            <w:r>
              <w:rPr>
                <w:sz w:val="17"/>
              </w:rPr>
            </w:r>
            <w:r>
              <w:rPr>
                <w:sz w:val="17"/>
              </w:rPr>
              <w:t>10.45 – 25.61 dB</w:t>
            </w:r>
          </w:p>
        </w:tc>
        <w:tc>
          <w:tcPr>
            <w:tcW w:type="dxa" w:w="2880"/>
          </w:tcPr>
          <w:p>
            <w:pPr>
              <w:pStyle w:val="BodyText"/>
              <w:spacing w:after="20" w:before="20"/>
            </w:pPr>
            <w:r>
              <w:rPr>
                <w:sz w:val="17"/>
              </w:rPr>
            </w:r>
            <w:r>
              <w:rPr>
                <w:sz w:val="17"/>
              </w:rPr>
              <w:t>10.07 – 22.34 dB</w:t>
            </w:r>
          </w:p>
        </w:tc>
      </w:tr>
      <w:tr>
        <w:tc>
          <w:tcPr>
            <w:tcW w:type="dxa" w:w="3456"/>
          </w:tcPr>
          <w:p>
            <w:pPr>
              <w:pStyle w:val="BodyText"/>
              <w:spacing w:after="20" w:before="20"/>
            </w:pPr>
            <w:r>
              <w:rPr>
                <w:sz w:val="17"/>
              </w:rPr>
            </w:r>
            <w:r>
              <w:rPr>
                <w:sz w:val="17"/>
              </w:rPr>
              <w:t>Gaussians, full field</w:t>
            </w:r>
          </w:p>
        </w:tc>
        <w:tc>
          <w:tcPr>
            <w:tcW w:type="dxa" w:w="2880"/>
          </w:tcPr>
          <w:p>
            <w:pPr>
              <w:pStyle w:val="BodyText"/>
              <w:spacing w:after="20" w:before="20"/>
            </w:pPr>
            <w:r>
              <w:rPr>
                <w:sz w:val="17"/>
              </w:rPr>
            </w:r>
            <w:r>
              <w:rPr>
                <w:sz w:val="17"/>
              </w:rPr>
              <w:t>653,917</w:t>
            </w:r>
          </w:p>
        </w:tc>
        <w:tc>
          <w:tcPr>
            <w:tcW w:type="dxa" w:w="2880"/>
          </w:tcPr>
          <w:p>
            <w:pPr>
              <w:pStyle w:val="BodyText"/>
              <w:spacing w:after="20" w:before="20"/>
            </w:pPr>
            <w:r>
              <w:rPr>
                <w:sz w:val="17"/>
              </w:rPr>
            </w:r>
            <w:r>
              <w:rPr>
                <w:sz w:val="17"/>
              </w:rPr>
              <w:t>1,053,976</w:t>
            </w:r>
          </w:p>
        </w:tc>
      </w:tr>
      <w:tr>
        <w:tc>
          <w:tcPr>
            <w:tcW w:type="dxa" w:w="3456"/>
          </w:tcPr>
          <w:p>
            <w:pPr>
              <w:pStyle w:val="BodyText"/>
              <w:spacing w:after="20" w:before="20"/>
            </w:pPr>
            <w:r>
              <w:rPr>
                <w:sz w:val="17"/>
              </w:rPr>
            </w:r>
            <w:r>
              <w:rPr>
                <w:sz w:val="17"/>
              </w:rPr>
              <w:t>Gaussians after object crop</w:t>
            </w:r>
          </w:p>
        </w:tc>
        <w:tc>
          <w:tcPr>
            <w:tcW w:type="dxa" w:w="2880"/>
          </w:tcPr>
          <w:p>
            <w:pPr>
              <w:pStyle w:val="BodyText"/>
              <w:spacing w:after="20" w:before="20"/>
            </w:pPr>
            <w:r>
              <w:rPr>
                <w:sz w:val="17"/>
              </w:rPr>
            </w:r>
            <w:r>
              <w:rPr>
                <w:sz w:val="17"/>
              </w:rPr>
              <w:t>291,764</w:t>
            </w:r>
          </w:p>
        </w:tc>
        <w:tc>
          <w:tcPr>
            <w:tcW w:type="dxa" w:w="2880"/>
          </w:tcPr>
          <w:p>
            <w:pPr>
              <w:pStyle w:val="BodyText"/>
              <w:spacing w:after="20" w:before="20"/>
            </w:pPr>
            <w:r>
              <w:rPr>
                <w:sz w:val="17"/>
              </w:rPr>
            </w:r>
            <w:r>
              <w:rPr>
                <w:sz w:val="17"/>
              </w:rPr>
              <w:t>163,756</w:t>
            </w:r>
          </w:p>
        </w:tc>
      </w:tr>
    </w:tbl>
    <w:p>
      <w:pPr>
        <w:pStyle w:val="BodyText"/>
        <w:spacing w:after="80"/>
      </w:pPr>
    </w:p>
    <w:p>
      <w:pPr>
        <w:pStyle w:val="BodyText"/>
      </w:pPr>
      <w:r>
        <w:t>The lamp registered every photograph and produced the cleanest fold ratios in the project, yet scores nearly 4.2 dB below the sala. The next section explains why, and the explanation is not that the lamp reconstructed worse.</w:t>
      </w:r>
    </w:p>
    <w:p>
      <w:pPr>
        <w:jc w:val="center"/>
      </w:pPr>
      <w:r>
        <w:drawing>
          <wp:inline xmlns:a="http://schemas.openxmlformats.org/drawingml/2006/main" xmlns:pic="http://schemas.openxmlformats.org/drawingml/2006/picture">
            <wp:extent cx="4206240" cy="5056477"/>
            <wp:docPr id="1" name="Picture 1"/>
            <wp:cNvGraphicFramePr>
              <a:graphicFrameLocks noChangeAspect="1"/>
            </wp:cNvGraphicFramePr>
            <a:graphic>
              <a:graphicData uri="http://schemas.openxmlformats.org/drawingml/2006/picture">
                <pic:pic>
                  <pic:nvPicPr>
                    <pic:cNvPr id="0" name="fig_heldout_sala.png"/>
                    <pic:cNvPicPr/>
                  </pic:nvPicPr>
                  <pic:blipFill>
                    <a:blip r:embed="rId28"/>
                    <a:stretch>
                      <a:fillRect/>
                    </a:stretch>
                  </pic:blipFill>
                  <pic:spPr>
                    <a:xfrm>
                      <a:off x="0" y="0"/>
                      <a:ext cx="4206240" cy="5056477"/>
                    </a:xfrm>
                    <a:prstGeom prst="rect"/>
                  </pic:spPr>
                </pic:pic>
              </a:graphicData>
            </a:graphic>
          </wp:inline>
        </w:drawing>
      </w:r>
    </w:p>
    <w:p>
      <w:pPr>
        <w:pStyle w:val="figurecaption"/>
        <w:jc w:val="center"/>
      </w:pPr>
      <w:r>
        <w:t>Fig. 1.  Held-out photographs of the pavilion beside the model’s own render of the same pose. Top: the worst-scoring view. Below: two typical ones. The structure is reproduced; the sky behind it is not.</w:t>
      </w:r>
    </w:p>
    <w:p>
      <w:pPr>
        <w:pStyle w:val="Heading1"/>
      </w:pPr>
      <w:r>
        <w:t>Where the Score Is Actually Lost</w:t>
      </w:r>
    </w:p>
    <w:p>
      <w:pPr>
        <w:pStyle w:val="BodyText"/>
      </w:pPr>
      <w:r>
        <w:t>Recomputing PSNR over sub-regions of the same renders, with no retraining:</w:t>
      </w:r>
    </w:p>
    <w:p>
      <w:pPr>
        <w:jc w:val="center"/>
      </w:pPr>
      <w:r>
        <w:drawing>
          <wp:inline xmlns:a="http://schemas.openxmlformats.org/drawingml/2006/main" xmlns:pic="http://schemas.openxmlformats.org/drawingml/2006/picture">
            <wp:extent cx="4023360" cy="2621280"/>
            <wp:docPr id="2" name="Picture 2"/>
            <wp:cNvGraphicFramePr>
              <a:graphicFrameLocks noChangeAspect="1"/>
            </wp:cNvGraphicFramePr>
            <a:graphic>
              <a:graphicData uri="http://schemas.openxmlformats.org/drawingml/2006/picture">
                <pic:pic>
                  <pic:nvPicPr>
                    <pic:cNvPr id="0" name="fig_psnr_regions.png"/>
                    <pic:cNvPicPr/>
                  </pic:nvPicPr>
                  <pic:blipFill>
                    <a:blip r:embed="rId29"/>
                    <a:stretch>
                      <a:fillRect/>
                    </a:stretch>
                  </pic:blipFill>
                  <pic:spPr>
                    <a:xfrm>
                      <a:off x="0" y="0"/>
                      <a:ext cx="4023360" cy="2621280"/>
                    </a:xfrm>
                    <a:prstGeom prst="rect"/>
                  </pic:spPr>
                </pic:pic>
              </a:graphicData>
            </a:graphic>
          </wp:inline>
        </w:drawing>
      </w:r>
    </w:p>
    <w:p>
      <w:pPr>
        <w:pStyle w:val="figurecaption"/>
        <w:jc w:val="center"/>
      </w:pPr>
      <w:r>
        <w:t>Fig. 2.  The same renders, scored over three regions. Excluding pixels the sky mask blackened lifts both models by more than 2 dB; over the region the subject occupies the two are within 0.6 dB of each other.</w:t>
      </w:r>
    </w:p>
    <w:p>
      <w:pPr>
        <w:pStyle w:val="tablehead"/>
        <w:jc w:val="center"/>
      </w:pPr>
      <w:r>
        <w:t>TABLE 9.  Region-decomposed scores.</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4320"/>
            <w:shd w:val="clear" w:fill="EFEFEC"/>
          </w:tcPr>
          <w:p>
            <w:pPr>
              <w:pStyle w:val="BodyText"/>
              <w:spacing w:after="20" w:before="20"/>
            </w:pPr>
            <w:r>
              <w:rPr>
                <w:b/>
                <w:sz w:val="17"/>
              </w:rPr>
            </w:r>
            <w:r>
              <w:rPr>
                <w:b/>
                <w:sz w:val="17"/>
              </w:rPr>
              <w:t>Region</w:t>
            </w:r>
          </w:p>
        </w:tc>
        <w:tc>
          <w:tcPr>
            <w:tcW w:type="dxa" w:w="2448"/>
            <w:shd w:val="clear" w:fill="EFEFEC"/>
          </w:tcPr>
          <w:p>
            <w:pPr>
              <w:pStyle w:val="BodyText"/>
              <w:spacing w:after="20" w:before="20"/>
            </w:pPr>
            <w:r>
              <w:rPr>
                <w:b/>
                <w:sz w:val="17"/>
              </w:rPr>
            </w:r>
            <w:r>
              <w:rPr>
                <w:b/>
                <w:sz w:val="17"/>
              </w:rPr>
              <w:t>Sala</w:t>
            </w:r>
          </w:p>
        </w:tc>
        <w:tc>
          <w:tcPr>
            <w:tcW w:type="dxa" w:w="2448"/>
            <w:shd w:val="clear" w:fill="EFEFEC"/>
          </w:tcPr>
          <w:p>
            <w:pPr>
              <w:pStyle w:val="BodyText"/>
              <w:spacing w:after="20" w:before="20"/>
            </w:pPr>
            <w:r>
              <w:rPr>
                <w:b/>
                <w:sz w:val="17"/>
              </w:rPr>
            </w:r>
            <w:r>
              <w:rPr>
                <w:b/>
                <w:sz w:val="17"/>
              </w:rPr>
              <w:t>Lamp</w:t>
            </w:r>
          </w:p>
        </w:tc>
      </w:tr>
      <w:tr>
        <w:tc>
          <w:tcPr>
            <w:tcW w:type="dxa" w:w="4320"/>
          </w:tcPr>
          <w:p>
            <w:pPr>
              <w:pStyle w:val="BodyText"/>
              <w:spacing w:after="20" w:before="20"/>
            </w:pPr>
            <w:r>
              <w:rPr>
                <w:sz w:val="17"/>
              </w:rPr>
            </w:r>
            <w:r>
              <w:rPr>
                <w:sz w:val="17"/>
              </w:rPr>
              <w:t>Whole frame</w:t>
            </w:r>
          </w:p>
        </w:tc>
        <w:tc>
          <w:tcPr>
            <w:tcW w:type="dxa" w:w="2448"/>
          </w:tcPr>
          <w:p>
            <w:pPr>
              <w:pStyle w:val="BodyText"/>
              <w:spacing w:after="20" w:before="20"/>
            </w:pPr>
            <w:r>
              <w:rPr>
                <w:sz w:val="17"/>
              </w:rPr>
            </w:r>
            <w:r>
              <w:rPr>
                <w:sz w:val="17"/>
              </w:rPr>
              <w:t>20.10 dB</w:t>
            </w:r>
          </w:p>
        </w:tc>
        <w:tc>
          <w:tcPr>
            <w:tcW w:type="dxa" w:w="2448"/>
          </w:tcPr>
          <w:p>
            <w:pPr>
              <w:pStyle w:val="BodyText"/>
              <w:spacing w:after="20" w:before="20"/>
            </w:pPr>
            <w:r>
              <w:rPr>
                <w:sz w:val="17"/>
              </w:rPr>
            </w:r>
            <w:r>
              <w:rPr>
                <w:sz w:val="17"/>
              </w:rPr>
              <w:t>15.93 dB</w:t>
            </w:r>
          </w:p>
        </w:tc>
      </w:tr>
      <w:tr>
        <w:tc>
          <w:tcPr>
            <w:tcW w:type="dxa" w:w="4320"/>
          </w:tcPr>
          <w:p>
            <w:pPr>
              <w:pStyle w:val="BodyText"/>
              <w:spacing w:after="20" w:before="20"/>
            </w:pPr>
            <w:r>
              <w:rPr>
                <w:sz w:val="17"/>
              </w:rPr>
            </w:r>
            <w:r>
              <w:rPr>
                <w:sz w:val="17"/>
              </w:rPr>
              <w:t>Excluding pixels the sky mask blackened</w:t>
            </w:r>
          </w:p>
        </w:tc>
        <w:tc>
          <w:tcPr>
            <w:tcW w:type="dxa" w:w="2448"/>
          </w:tcPr>
          <w:p>
            <w:pPr>
              <w:pStyle w:val="BodyText"/>
              <w:spacing w:after="20" w:before="20"/>
            </w:pPr>
            <w:r>
              <w:rPr>
                <w:sz w:val="17"/>
              </w:rPr>
            </w:r>
            <w:r>
              <w:rPr>
                <w:b/>
                <w:sz w:val="17"/>
              </w:rPr>
              <w:t>22.33 dB</w:t>
            </w:r>
            <w:r>
              <w:rPr>
                <w:sz w:val="17"/>
              </w:rPr>
              <w:t xml:space="preserve"> (+2.40)</w:t>
            </w:r>
          </w:p>
        </w:tc>
        <w:tc>
          <w:tcPr>
            <w:tcW w:type="dxa" w:w="2448"/>
          </w:tcPr>
          <w:p>
            <w:pPr>
              <w:pStyle w:val="BodyText"/>
              <w:spacing w:after="20" w:before="20"/>
            </w:pPr>
            <w:r>
              <w:rPr>
                <w:sz w:val="17"/>
              </w:rPr>
            </w:r>
            <w:r>
              <w:rPr>
                <w:b/>
                <w:sz w:val="17"/>
              </w:rPr>
              <w:t>18.14 dB</w:t>
            </w:r>
            <w:r>
              <w:rPr>
                <w:sz w:val="17"/>
              </w:rPr>
              <w:t xml:space="preserve"> (+2.21)</w:t>
            </w:r>
          </w:p>
        </w:tc>
      </w:tr>
      <w:tr>
        <w:tc>
          <w:tcPr>
            <w:tcW w:type="dxa" w:w="4320"/>
          </w:tcPr>
          <w:p>
            <w:pPr>
              <w:pStyle w:val="BodyText"/>
              <w:spacing w:after="20" w:before="20"/>
            </w:pPr>
            <w:r>
              <w:rPr>
                <w:sz w:val="17"/>
              </w:rPr>
            </w:r>
            <w:r>
              <w:rPr>
                <w:sz w:val="17"/>
              </w:rPr>
              <w:t>Central region — the subject</w:t>
            </w:r>
          </w:p>
        </w:tc>
        <w:tc>
          <w:tcPr>
            <w:tcW w:type="dxa" w:w="2448"/>
          </w:tcPr>
          <w:p>
            <w:pPr>
              <w:pStyle w:val="BodyText"/>
              <w:spacing w:after="20" w:before="20"/>
            </w:pPr>
            <w:r>
              <w:rPr>
                <w:sz w:val="17"/>
              </w:rPr>
            </w:r>
            <w:r>
              <w:rPr>
                <w:sz w:val="17"/>
              </w:rPr>
              <w:t>20.89 dB</w:t>
            </w:r>
          </w:p>
        </w:tc>
        <w:tc>
          <w:tcPr>
            <w:tcW w:type="dxa" w:w="2448"/>
          </w:tcPr>
          <w:p>
            <w:pPr>
              <w:pStyle w:val="BodyText"/>
              <w:spacing w:after="20" w:before="20"/>
            </w:pPr>
            <w:r>
              <w:rPr>
                <w:sz w:val="17"/>
              </w:rPr>
            </w:r>
            <w:r>
              <w:rPr>
                <w:b/>
                <w:sz w:val="17"/>
              </w:rPr>
              <w:t>20.25 dB</w:t>
            </w:r>
          </w:p>
        </w:tc>
      </w:tr>
      <w:tr>
        <w:tc>
          <w:tcPr>
            <w:tcW w:type="dxa" w:w="4320"/>
          </w:tcPr>
          <w:p>
            <w:pPr>
              <w:pStyle w:val="BodyText"/>
              <w:spacing w:after="20" w:before="20"/>
            </w:pPr>
            <w:r>
              <w:rPr>
                <w:sz w:val="17"/>
              </w:rPr>
            </w:r>
            <w:r>
              <w:rPr>
                <w:sz w:val="17"/>
              </w:rPr>
              <w:t>Best single held-out view, central region</w:t>
            </w:r>
          </w:p>
        </w:tc>
        <w:tc>
          <w:tcPr>
            <w:tcW w:type="dxa" w:w="2448"/>
          </w:tcPr>
          <w:p>
            <w:pPr>
              <w:pStyle w:val="BodyText"/>
              <w:spacing w:after="20" w:before="20"/>
            </w:pPr>
            <w:r>
              <w:rPr>
                <w:sz w:val="17"/>
              </w:rPr>
            </w:r>
            <w:r>
              <w:rPr>
                <w:sz w:val="17"/>
              </w:rPr>
              <w:t>25.56 dB</w:t>
            </w:r>
          </w:p>
        </w:tc>
        <w:tc>
          <w:tcPr>
            <w:tcW w:type="dxa" w:w="2448"/>
          </w:tcPr>
          <w:p>
            <w:pPr>
              <w:pStyle w:val="BodyText"/>
              <w:spacing w:after="20" w:before="20"/>
            </w:pPr>
            <w:r>
              <w:rPr>
                <w:sz w:val="17"/>
              </w:rPr>
            </w:r>
            <w:r>
              <w:rPr>
                <w:b/>
                <w:sz w:val="17"/>
              </w:rPr>
              <w:t>30.01 dB</w:t>
            </w:r>
          </w:p>
        </w:tc>
      </w:tr>
      <w:tr>
        <w:tc>
          <w:tcPr>
            <w:tcW w:type="dxa" w:w="4320"/>
          </w:tcPr>
          <w:p>
            <w:pPr>
              <w:pStyle w:val="BodyText"/>
              <w:spacing w:after="20" w:before="20"/>
            </w:pPr>
            <w:r>
              <w:rPr>
                <w:sz w:val="17"/>
              </w:rPr>
            </w:r>
            <w:r>
              <w:rPr>
                <w:sz w:val="17"/>
              </w:rPr>
              <w:t>Blackened pixels, share of average frame</w:t>
            </w:r>
          </w:p>
        </w:tc>
        <w:tc>
          <w:tcPr>
            <w:tcW w:type="dxa" w:w="2448"/>
          </w:tcPr>
          <w:p>
            <w:pPr>
              <w:pStyle w:val="BodyText"/>
              <w:spacing w:after="20" w:before="20"/>
            </w:pPr>
            <w:r>
              <w:rPr>
                <w:sz w:val="17"/>
              </w:rPr>
            </w:r>
            <w:r>
              <w:rPr>
                <w:sz w:val="17"/>
              </w:rPr>
              <w:t>11.8%</w:t>
            </w:r>
          </w:p>
        </w:tc>
        <w:tc>
          <w:tcPr>
            <w:tcW w:type="dxa" w:w="2448"/>
          </w:tcPr>
          <w:p>
            <w:pPr>
              <w:pStyle w:val="BodyText"/>
              <w:spacing w:after="20" w:before="20"/>
            </w:pPr>
            <w:r>
              <w:rPr>
                <w:sz w:val="17"/>
              </w:rPr>
            </w:r>
            <w:r>
              <w:rPr>
                <w:sz w:val="17"/>
              </w:rPr>
              <w:t>17.4%</w:t>
            </w:r>
          </w:p>
        </w:tc>
      </w:tr>
    </w:tbl>
    <w:p>
      <w:pPr>
        <w:pStyle w:val="BodyText"/>
        <w:spacing w:after="80"/>
      </w:pPr>
    </w:p>
    <w:p>
      <w:pPr>
        <w:pStyle w:val="BodyText"/>
      </w:pPr>
      <w:r>
        <w:rPr>
          <w:b/>
        </w:rPr>
        <w:t>The lamp’s low headline number is a framing artefact.</w:t>
      </w:r>
      <w:r>
        <w:t xml:space="preserve"> Over the region the lamp occupies it scores 20.25 dB and reaches 30.01 dB on its best view — comparable to the sala, and on its best view better than anything else in the project. Its whole-frame number is low because a small object photographed from 3.6 m leaves most of the frame filled with a lake, a treeline and buildings a hundred metres away, which a 3.6 m orbit gives no parallax on and therefore cannot constrain. The model renders them as smear, and PSNR counts every one of those pixels.</w:t>
      </w:r>
    </w:p>
    <w:p>
      <w:pPr>
        <w:pStyle w:val="BodyText"/>
      </w:pPr>
      <w:r>
        <w:rPr>
          <w:b/>
        </w:rPr>
        <w:t>The sky mask costs more than any hyperparameter.</w:t>
      </w:r>
      <w:r>
        <w:t xml:space="preserve"> The HSV-and-gradient mask fires on some frames and not on others: in held-out views 00007 and 00009 the ground truth shows open sky, while in 00012 the same sky is black. The model cannot satisfy both, so it learns a compromise and is penalised in both. This is worth 2.2–2.4 dB — roughly forty times what doubling the training budget would buy — and it is fixable in software, without new photographs.</w:t>
      </w:r>
    </w:p>
    <w:p>
      <w:pPr>
        <w:jc w:val="center"/>
      </w:pPr>
      <w:r>
        <w:drawing>
          <wp:inline xmlns:a="http://schemas.openxmlformats.org/drawingml/2006/main" xmlns:pic="http://schemas.openxmlformats.org/drawingml/2006/picture">
            <wp:extent cx="5852160" cy="2818432"/>
            <wp:docPr id="3" name="Picture 3"/>
            <wp:cNvGraphicFramePr>
              <a:graphicFrameLocks noChangeAspect="1"/>
            </wp:cNvGraphicFramePr>
            <a:graphic>
              <a:graphicData uri="http://schemas.openxmlformats.org/drawingml/2006/picture">
                <pic:pic>
                  <pic:nvPicPr>
                    <pic:cNvPr id="0" name="fig_skymask.png"/>
                    <pic:cNvPicPr/>
                  </pic:nvPicPr>
                  <pic:blipFill>
                    <a:blip r:embed="rId30"/>
                    <a:stretch>
                      <a:fillRect/>
                    </a:stretch>
                  </pic:blipFill>
                  <pic:spPr>
                    <a:xfrm>
                      <a:off x="0" y="0"/>
                      <a:ext cx="5852160" cy="2818432"/>
                    </a:xfrm>
                    <a:prstGeom prst="rect"/>
                  </pic:spPr>
                </pic:pic>
              </a:graphicData>
            </a:graphic>
          </wp:inline>
        </w:drawing>
      </w:r>
    </w:p>
    <w:p>
      <w:pPr>
        <w:pStyle w:val="figurecaption"/>
        <w:jc w:val="center"/>
      </w:pPr>
      <w:r>
        <w:t>Fig. 3.  The sky mask is not consistent between views. The same overcast sky is left textured in two held-out frames and painted black in a third. Every blackened pixel is scored against a render that cannot match both cases.</w:t>
      </w:r>
    </w:p>
    <w:p>
      <w:pPr>
        <w:pStyle w:val="BodyText"/>
      </w:pPr>
      <w:r>
        <w:rPr>
          <w:b/>
        </w:rPr>
        <w:t>Implication for the paper.</w:t>
      </w:r>
      <w:r>
        <w:t xml:space="preserve"> A single whole-frame PSNR is not a measure of how well the subject reconstructed. Where the subject occupies a minority of the frame, the number is mostly reporting the background. This parallels the finding of the previous round — that sub-pixel reprojection error is not evidence of correct geometry — and has the same moral: the standard summary statistic answers a different question than the one being asked.</w:t>
      </w:r>
    </w:p>
    <w:p>
      <w:pPr>
        <w:pStyle w:val="Heading1"/>
      </w:pPr>
      <w:r>
        <w:t>The Interior Never Joined the Exterior</w:t>
      </w:r>
    </w:p>
    <w:p>
      <w:pPr>
        <w:pStyle w:val="BodyText"/>
      </w:pPr>
      <w:r>
        <w:t xml:space="preserve">COLMAP produced </w:t>
      </w:r>
      <w:r>
        <w:rPr>
          <w:b/>
        </w:rPr>
        <w:t>two disconnected sub-models</w:t>
      </w:r>
      <w:r>
        <w:t xml:space="preserve"> for the sala, and 3DGS trained only the larger.</w:t>
      </w:r>
    </w:p>
    <w:p>
      <w:pPr>
        <w:pStyle w:val="tablehead"/>
        <w:jc w:val="center"/>
      </w:pPr>
      <w:r>
        <w:t>TABLE 10.  The split reconstruction.</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3456"/>
            <w:shd w:val="clear" w:fill="EFEFEC"/>
          </w:tcPr>
          <w:p>
            <w:pPr>
              <w:pStyle w:val="BodyText"/>
              <w:spacing w:after="20" w:before="20"/>
            </w:pPr>
            <w:r>
              <w:rPr>
                <w:b/>
                <w:sz w:val="17"/>
              </w:rPr>
            </w:r>
            <w:r>
              <w:rPr>
                <w:b/>
                <w:sz w:val="17"/>
              </w:rPr>
              <w:t>Sub-model</w:t>
            </w:r>
          </w:p>
        </w:tc>
        <w:tc>
          <w:tcPr>
            <w:tcW w:type="dxa" w:w="2304"/>
            <w:shd w:val="clear" w:fill="EFEFEC"/>
          </w:tcPr>
          <w:p>
            <w:pPr>
              <w:pStyle w:val="BodyText"/>
              <w:spacing w:after="20" w:before="20"/>
            </w:pPr>
            <w:r>
              <w:rPr>
                <w:b/>
                <w:sz w:val="17"/>
              </w:rPr>
            </w:r>
            <w:r>
              <w:rPr>
                <w:b/>
                <w:sz w:val="17"/>
              </w:rPr>
              <w:t>Images</w:t>
            </w:r>
          </w:p>
        </w:tc>
        <w:tc>
          <w:tcPr>
            <w:tcW w:type="dxa" w:w="2304"/>
            <w:shd w:val="clear" w:fill="EFEFEC"/>
          </w:tcPr>
          <w:p>
            <w:pPr>
              <w:pStyle w:val="BodyText"/>
              <w:spacing w:after="20" w:before="20"/>
            </w:pPr>
            <w:r>
              <w:rPr>
                <w:b/>
                <w:sz w:val="17"/>
              </w:rPr>
            </w:r>
            <w:r>
              <w:rPr>
                <w:b/>
                <w:sz w:val="17"/>
              </w:rPr>
              <w:t>Trained</w:t>
            </w:r>
          </w:p>
        </w:tc>
      </w:tr>
      <w:tr>
        <w:tc>
          <w:tcPr>
            <w:tcW w:type="dxa" w:w="3456"/>
          </w:tcPr>
          <w:p>
            <w:pPr>
              <w:pStyle w:val="BodyText"/>
              <w:spacing w:after="20" w:before="20"/>
            </w:pPr>
            <w:r>
              <w:rPr>
                <w:sz w:val="17"/>
              </w:rPr>
            </w:r>
            <w:r>
              <w:rPr>
                <w:sz w:val="17"/>
              </w:rPr>
              <w:t>sparse/0</w:t>
            </w:r>
          </w:p>
        </w:tc>
        <w:tc>
          <w:tcPr>
            <w:tcW w:type="dxa" w:w="2304"/>
          </w:tcPr>
          <w:p>
            <w:pPr>
              <w:pStyle w:val="BodyText"/>
              <w:spacing w:after="20" w:before="20"/>
            </w:pPr>
            <w:r>
              <w:rPr>
                <w:sz w:val="17"/>
              </w:rPr>
            </w:r>
            <w:r>
              <w:rPr>
                <w:sz w:val="17"/>
              </w:rPr>
              <w:t>395</w:t>
            </w:r>
          </w:p>
        </w:tc>
        <w:tc>
          <w:tcPr>
            <w:tcW w:type="dxa" w:w="2304"/>
          </w:tcPr>
          <w:p>
            <w:pPr>
              <w:pStyle w:val="BodyText"/>
              <w:spacing w:after="20" w:before="20"/>
            </w:pPr>
            <w:r>
              <w:rPr>
                <w:sz w:val="17"/>
              </w:rPr>
            </w:r>
            <w:r>
              <w:rPr>
                <w:sz w:val="17"/>
              </w:rPr>
              <w:t>yes</w:t>
            </w:r>
          </w:p>
        </w:tc>
      </w:tr>
      <w:tr>
        <w:tc>
          <w:tcPr>
            <w:tcW w:type="dxa" w:w="3456"/>
          </w:tcPr>
          <w:p>
            <w:pPr>
              <w:pStyle w:val="BodyText"/>
              <w:spacing w:after="20" w:before="20"/>
            </w:pPr>
            <w:r>
              <w:rPr>
                <w:sz w:val="17"/>
              </w:rPr>
            </w:r>
            <w:r>
              <w:rPr>
                <w:sz w:val="17"/>
              </w:rPr>
              <w:t>sparse/1</w:t>
            </w:r>
          </w:p>
        </w:tc>
        <w:tc>
          <w:tcPr>
            <w:tcW w:type="dxa" w:w="2304"/>
          </w:tcPr>
          <w:p>
            <w:pPr>
              <w:pStyle w:val="BodyText"/>
              <w:spacing w:after="20" w:before="20"/>
            </w:pPr>
            <w:r>
              <w:rPr>
                <w:sz w:val="17"/>
              </w:rPr>
            </w:r>
            <w:r>
              <w:rPr>
                <w:sz w:val="17"/>
              </w:rPr>
              <w:t>71</w:t>
            </w:r>
          </w:p>
        </w:tc>
        <w:tc>
          <w:tcPr>
            <w:tcW w:type="dxa" w:w="2304"/>
          </w:tcPr>
          <w:p>
            <w:pPr>
              <w:pStyle w:val="BodyText"/>
              <w:spacing w:after="20" w:before="20"/>
            </w:pPr>
            <w:r>
              <w:rPr>
                <w:sz w:val="17"/>
              </w:rPr>
            </w:r>
            <w:r>
              <w:rPr>
                <w:b/>
                <w:sz w:val="17"/>
              </w:rPr>
              <w:t>no</w:t>
            </w:r>
          </w:p>
        </w:tc>
      </w:tr>
      <w:tr>
        <w:tc>
          <w:tcPr>
            <w:tcW w:type="dxa" w:w="3456"/>
          </w:tcPr>
          <w:p>
            <w:pPr>
              <w:pStyle w:val="BodyText"/>
              <w:spacing w:after="20" w:before="20"/>
            </w:pPr>
            <w:r>
              <w:rPr>
                <w:sz w:val="17"/>
              </w:rPr>
            </w:r>
            <w:r>
              <w:rPr>
                <w:sz w:val="17"/>
              </w:rPr>
              <w:t>In both</w:t>
            </w:r>
          </w:p>
        </w:tc>
        <w:tc>
          <w:tcPr>
            <w:tcW w:type="dxa" w:w="2304"/>
          </w:tcPr>
          <w:p>
            <w:pPr>
              <w:pStyle w:val="BodyText"/>
              <w:spacing w:after="20" w:before="20"/>
            </w:pPr>
            <w:r>
              <w:rPr>
                <w:sz w:val="17"/>
              </w:rPr>
            </w:r>
            <w:r>
              <w:rPr>
                <w:sz w:val="17"/>
              </w:rPr>
              <w:t>20</w:t>
            </w:r>
          </w:p>
        </w:tc>
        <w:tc>
          <w:tcPr>
            <w:tcW w:type="dxa" w:w="2304"/>
          </w:tcPr>
          <w:p>
            <w:pPr>
              <w:pStyle w:val="BodyText"/>
              <w:spacing w:after="20" w:before="20"/>
            </w:pPr>
            <w:r>
              <w:rPr>
                <w:sz w:val="17"/>
              </w:rPr>
            </w:r>
            <w:r>
              <w:rPr>
                <w:sz w:val="17"/>
              </w:rPr>
              <w:t>—</w:t>
            </w:r>
          </w:p>
        </w:tc>
      </w:tr>
      <w:tr>
        <w:tc>
          <w:tcPr>
            <w:tcW w:type="dxa" w:w="3456"/>
          </w:tcPr>
          <w:p>
            <w:pPr>
              <w:pStyle w:val="BodyText"/>
              <w:spacing w:after="20" w:before="20"/>
            </w:pPr>
            <w:r>
              <w:rPr>
                <w:sz w:val="17"/>
              </w:rPr>
            </w:r>
            <w:r>
              <w:rPr>
                <w:b/>
                <w:sz w:val="17"/>
              </w:rPr>
              <w:t>Exclusive to sparse/1</w:t>
            </w:r>
          </w:p>
        </w:tc>
        <w:tc>
          <w:tcPr>
            <w:tcW w:type="dxa" w:w="2304"/>
          </w:tcPr>
          <w:p>
            <w:pPr>
              <w:pStyle w:val="BodyText"/>
              <w:spacing w:after="20" w:before="20"/>
            </w:pPr>
            <w:r>
              <w:rPr>
                <w:sz w:val="17"/>
              </w:rPr>
            </w:r>
            <w:r>
              <w:rPr>
                <w:b/>
                <w:sz w:val="17"/>
              </w:rPr>
              <w:t>51</w:t>
            </w:r>
          </w:p>
        </w:tc>
        <w:tc>
          <w:tcPr>
            <w:tcW w:type="dxa" w:w="2304"/>
          </w:tcPr>
          <w:p>
            <w:pPr>
              <w:pStyle w:val="BodyText"/>
              <w:spacing w:after="20" w:before="20"/>
            </w:pPr>
            <w:r>
              <w:rPr>
                <w:sz w:val="17"/>
              </w:rPr>
            </w:r>
            <w:r>
              <w:rPr>
                <w:b/>
                <w:sz w:val="17"/>
              </w:rPr>
              <w:t>no</w:t>
            </w:r>
          </w:p>
        </w:tc>
      </w:tr>
    </w:tbl>
    <w:p>
      <w:pPr>
        <w:pStyle w:val="BodyText"/>
        <w:spacing w:after="80"/>
      </w:pPr>
    </w:p>
    <w:p>
      <w:pPr>
        <w:pStyle w:val="BodyText"/>
      </w:pPr>
      <w:r>
        <w:t xml:space="preserve">Those 51 photographs are not a random scatter. Cross-referenced against the capture manifest, </w:t>
      </w:r>
      <w:r>
        <w:rPr>
          <w:b/>
        </w:rPr>
        <w:t>every one of them belongs to the Sala Inside folder.</w:t>
      </w:r>
      <w:r>
        <w:t xml:space="preserve"> Of 93 interior photographs, 42 bound to the exterior walk and 51 did not.</w:t>
      </w:r>
    </w:p>
    <w:p>
      <w:pPr>
        <w:pStyle w:val="BodyText"/>
      </w:pPr>
      <w:r>
        <w:t xml:space="preserve">The cause is ordinary and worth naming: standing under the roof, the camera sees painted ceiling and columns and almost nothing it saw from the terrace. Without frames that observe both at once, sequential matching finds no bridge, and COLMAP correctly reports two reconstructions rather than inventing a link between them. The model published as "the sala" is therefore </w:t>
      </w:r>
      <w:r>
        <w:rPr>
          <w:b/>
        </w:rPr>
        <w:t>the exterior</w:t>
      </w:r>
      <w:r>
        <w:t>.</w:t>
      </w:r>
    </w:p>
    <w:p>
      <w:pPr>
        <w:pStyle w:val="BodyText"/>
      </w:pPr>
      <w:r>
        <w:t>The fix is cheap and belongs in the next capture: a handful of deliberate transition frames taken standing in the doorway, turning slowly from outside to inside, so the two halves share features. The 71 images in sparse/1 are already reconstructed and could be trained as a separate interior model at any time for roughly 40 minutes of GPU.</w:t>
      </w:r>
    </w:p>
    <w:p>
      <w:pPr>
        <w:pStyle w:val="Heading1"/>
      </w:pPr>
      <w:r>
        <w:t>The Roof Was Never Photographed</w:t>
      </w:r>
    </w:p>
    <w:p>
      <w:pPr>
        <w:pStyle w:val="BodyText"/>
      </w:pPr>
      <w:r>
        <w:t>Measuring the elevation of every camera about the centre of the reconstructed object, using a world up-vector derived from the cameras’ own up axes (mean agreement 0.97, i.e. the capture was level):</w:t>
      </w:r>
    </w:p>
    <w:p>
      <w:pPr>
        <w:jc w:val="center"/>
      </w:pPr>
      <w:r>
        <w:drawing>
          <wp:inline xmlns:a="http://schemas.openxmlformats.org/drawingml/2006/main" xmlns:pic="http://schemas.openxmlformats.org/drawingml/2006/picture">
            <wp:extent cx="4023360" cy="2621280"/>
            <wp:docPr id="4" name="Picture 4"/>
            <wp:cNvGraphicFramePr>
              <a:graphicFrameLocks noChangeAspect="1"/>
            </wp:cNvGraphicFramePr>
            <a:graphic>
              <a:graphicData uri="http://schemas.openxmlformats.org/drawingml/2006/picture">
                <pic:pic>
                  <pic:nvPicPr>
                    <pic:cNvPr id="0" name="fig_elevation.png"/>
                    <pic:cNvPicPr/>
                  </pic:nvPicPr>
                  <pic:blipFill>
                    <a:blip r:embed="rId31"/>
                    <a:stretch>
                      <a:fillRect/>
                    </a:stretch>
                  </pic:blipFill>
                  <pic:spPr>
                    <a:xfrm>
                      <a:off x="0" y="0"/>
                      <a:ext cx="4023360" cy="2621280"/>
                    </a:xfrm>
                    <a:prstGeom prst="rect"/>
                  </pic:spPr>
                </pic:pic>
              </a:graphicData>
            </a:graphic>
          </wp:inline>
        </w:drawing>
      </w:r>
    </w:p>
    <w:p>
      <w:pPr>
        <w:pStyle w:val="figurecaption"/>
        <w:jc w:val="center"/>
      </w:pPr>
      <w:r>
        <w:t>Fig. 4.  Camera elevation about the subject. Every sala photograph sits at or below the horizon; the upper hemisphere is empty. The lamp’s three orbits reach +43° but nothing overhead.</w:t>
      </w:r>
    </w:p>
    <w:p>
      <w:pPr>
        <w:pStyle w:val="BodyText"/>
      </w:pPr>
      <w:r>
        <w:t>Azimuth coverage is complete for both — 12 of 12 sectors, thinnest 22 photographs for the sala and 4 for the lamp. The deficiency is entirely in elevation.</w:t>
      </w:r>
    </w:p>
    <w:p>
      <w:pPr>
        <w:pStyle w:val="BodyText"/>
      </w:pPr>
      <w:r>
        <w:rPr>
          <w:b/>
        </w:rPr>
        <w:t>Not one of the 446 sala photographs looks down at the pavilion.</w:t>
      </w:r>
      <w:r>
        <w:t xml:space="preserve"> The upper surfaces of the roof were never observed, so no Gaussian was ever placed on them and no amount of optimisation can create one. Viewed from above, the roof opens into a hollow shell — not because the model is undertrained, but because a radiance field contains only what was seen.</w:t>
      </w:r>
    </w:p>
    <w:p>
      <w:pPr>
        <w:jc w:val="center"/>
      </w:pPr>
      <w:r>
        <w:drawing>
          <wp:inline xmlns:a="http://schemas.openxmlformats.org/drawingml/2006/main" xmlns:pic="http://schemas.openxmlformats.org/drawingml/2006/picture">
            <wp:extent cx="3931920" cy="6105199"/>
            <wp:docPr id="5" name="Picture 5"/>
            <wp:cNvGraphicFramePr>
              <a:graphicFrameLocks noChangeAspect="1"/>
            </wp:cNvGraphicFramePr>
            <a:graphic>
              <a:graphicData uri="http://schemas.openxmlformats.org/drawingml/2006/picture">
                <pic:pic>
                  <pic:nvPicPr>
                    <pic:cNvPr id="0" name="fig_sala_observed_vs_not.png"/>
                    <pic:cNvPicPr/>
                  </pic:nvPicPr>
                  <pic:blipFill>
                    <a:blip r:embed="rId32"/>
                    <a:stretch>
                      <a:fillRect/>
                    </a:stretch>
                  </pic:blipFill>
                  <pic:spPr>
                    <a:xfrm>
                      <a:off x="0" y="0"/>
                      <a:ext cx="3931920" cy="6105199"/>
                    </a:xfrm>
                    <a:prstGeom prst="rect"/>
                  </pic:spPr>
                </pic:pic>
              </a:graphicData>
            </a:graphic>
          </wp:inline>
        </w:drawing>
      </w:r>
    </w:p>
    <w:p>
      <w:pPr>
        <w:pStyle w:val="figurecaption"/>
        <w:jc w:val="center"/>
      </w:pPr>
      <w:r>
        <w:t>Fig. 5.  The same model, two viewpoints. A: rendered from the pose of a photograph the capture actually took. B: rendered looking down from above, a direction no camera ever occupied. Nothing distinguishes these two renders except whether the viewpoint was photographed.</w:t>
      </w:r>
    </w:p>
    <w:p>
      <w:pPr>
        <w:pStyle w:val="BodyText"/>
      </w:pPr>
      <w:r>
        <w:t xml:space="preserve">This is the same limitation reported in the previous round, whose section 9.3 specified the remedy: elevated positions from floor 6 or higher of the main building’s east facade. The re-capture followed every other instruction and omitted this one. The honest conclusion is that </w:t>
      </w:r>
      <w:r>
        <w:rPr>
          <w:b/>
        </w:rPr>
        <w:t>the roof remains unobserved by choice of viewpoint, not by limitation of method</w:t>
      </w:r>
      <w:r>
        <w:t>, and that the project now has a direct measurement of the gap rather than an impression of it.</w:t>
      </w:r>
    </w:p>
    <w:p>
      <w:pPr>
        <w:pStyle w:val="Heading1"/>
      </w:pPr>
      <w:r>
        <w:t>Was 30,000 Iterations Enough?</w:t>
      </w:r>
    </w:p>
    <w:p>
      <w:pPr>
        <w:pStyle w:val="BodyText"/>
      </w:pPr>
      <w:r>
        <w:t>Yes, and the question can be answered quantitatively rather than by eye. Mean training L1 loss per 5,000 iterations, read from the TensorBoard event files:</w:t>
      </w:r>
    </w:p>
    <w:p>
      <w:pPr>
        <w:pStyle w:val="tablehead"/>
        <w:jc w:val="center"/>
      </w:pPr>
      <w:r>
        <w:t>TABLE 11.  Training loss, binned.</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446"/>
        <w:gridCol w:w="1446"/>
        <w:gridCol w:w="1446"/>
        <w:gridCol w:w="1446"/>
        <w:gridCol w:w="1446"/>
        <w:gridCol w:w="1446"/>
        <w:gridCol w:w="1446"/>
      </w:tblGrid>
      <w:tr>
        <w:tc>
          <w:tcPr>
            <w:tcW w:type="dxa" w:w="1008"/>
            <w:shd w:val="clear" w:fill="EFEFEC"/>
          </w:tcPr>
          <w:p>
            <w:pPr>
              <w:pStyle w:val="BodyText"/>
              <w:spacing w:after="20" w:before="20"/>
            </w:pPr>
            <w:r>
              <w:rPr>
                <w:b/>
                <w:sz w:val="17"/>
              </w:rPr>
            </w:r>
          </w:p>
        </w:tc>
        <w:tc>
          <w:tcPr>
            <w:tcW w:type="dxa" w:w="1296"/>
            <w:shd w:val="clear" w:fill="EFEFEC"/>
          </w:tcPr>
          <w:p>
            <w:pPr>
              <w:pStyle w:val="BodyText"/>
              <w:spacing w:after="20" w:before="20"/>
            </w:pPr>
            <w:r>
              <w:rPr>
                <w:b/>
                <w:sz w:val="17"/>
              </w:rPr>
            </w:r>
            <w:r>
              <w:rPr>
                <w:b/>
                <w:sz w:val="17"/>
              </w:rPr>
              <w:t>0–5k</w:t>
            </w:r>
          </w:p>
        </w:tc>
        <w:tc>
          <w:tcPr>
            <w:tcW w:type="dxa" w:w="1296"/>
            <w:shd w:val="clear" w:fill="EFEFEC"/>
          </w:tcPr>
          <w:p>
            <w:pPr>
              <w:pStyle w:val="BodyText"/>
              <w:spacing w:after="20" w:before="20"/>
            </w:pPr>
            <w:r>
              <w:rPr>
                <w:b/>
                <w:sz w:val="17"/>
              </w:rPr>
            </w:r>
            <w:r>
              <w:rPr>
                <w:b/>
                <w:sz w:val="17"/>
              </w:rPr>
              <w:t>5–10k</w:t>
            </w:r>
          </w:p>
        </w:tc>
        <w:tc>
          <w:tcPr>
            <w:tcW w:type="dxa" w:w="1296"/>
            <w:shd w:val="clear" w:fill="EFEFEC"/>
          </w:tcPr>
          <w:p>
            <w:pPr>
              <w:pStyle w:val="BodyText"/>
              <w:spacing w:after="20" w:before="20"/>
            </w:pPr>
            <w:r>
              <w:rPr>
                <w:b/>
                <w:sz w:val="17"/>
              </w:rPr>
            </w:r>
            <w:r>
              <w:rPr>
                <w:b/>
                <w:sz w:val="17"/>
              </w:rPr>
              <w:t>10–15k</w:t>
            </w:r>
          </w:p>
        </w:tc>
        <w:tc>
          <w:tcPr>
            <w:tcW w:type="dxa" w:w="1296"/>
            <w:shd w:val="clear" w:fill="EFEFEC"/>
          </w:tcPr>
          <w:p>
            <w:pPr>
              <w:pStyle w:val="BodyText"/>
              <w:spacing w:after="20" w:before="20"/>
            </w:pPr>
            <w:r>
              <w:rPr>
                <w:b/>
                <w:sz w:val="17"/>
              </w:rPr>
            </w:r>
            <w:r>
              <w:rPr>
                <w:b/>
                <w:sz w:val="17"/>
              </w:rPr>
              <w:t>15–20k</w:t>
            </w:r>
          </w:p>
        </w:tc>
        <w:tc>
          <w:tcPr>
            <w:tcW w:type="dxa" w:w="1296"/>
            <w:shd w:val="clear" w:fill="EFEFEC"/>
          </w:tcPr>
          <w:p>
            <w:pPr>
              <w:pStyle w:val="BodyText"/>
              <w:spacing w:after="20" w:before="20"/>
            </w:pPr>
            <w:r>
              <w:rPr>
                <w:b/>
                <w:sz w:val="17"/>
              </w:rPr>
            </w:r>
            <w:r>
              <w:rPr>
                <w:b/>
                <w:sz w:val="17"/>
              </w:rPr>
              <w:t>20–25k</w:t>
            </w:r>
          </w:p>
        </w:tc>
        <w:tc>
          <w:tcPr>
            <w:tcW w:type="dxa" w:w="1296"/>
            <w:shd w:val="clear" w:fill="EFEFEC"/>
          </w:tcPr>
          <w:p>
            <w:pPr>
              <w:pStyle w:val="BodyText"/>
              <w:spacing w:after="20" w:before="20"/>
            </w:pPr>
            <w:r>
              <w:rPr>
                <w:b/>
                <w:sz w:val="17"/>
              </w:rPr>
            </w:r>
            <w:r>
              <w:rPr>
                <w:b/>
                <w:sz w:val="17"/>
              </w:rPr>
              <w:t>25–30k</w:t>
            </w:r>
          </w:p>
        </w:tc>
      </w:tr>
      <w:tr>
        <w:tc>
          <w:tcPr>
            <w:tcW w:type="dxa" w:w="1008"/>
          </w:tcPr>
          <w:p>
            <w:pPr>
              <w:pStyle w:val="BodyText"/>
              <w:spacing w:after="20" w:before="20"/>
            </w:pPr>
            <w:r>
              <w:rPr>
                <w:sz w:val="17"/>
              </w:rPr>
            </w:r>
            <w:r>
              <w:rPr>
                <w:sz w:val="17"/>
              </w:rPr>
              <w:t>Lamp</w:t>
            </w:r>
          </w:p>
        </w:tc>
        <w:tc>
          <w:tcPr>
            <w:tcW w:type="dxa" w:w="1296"/>
          </w:tcPr>
          <w:p>
            <w:pPr>
              <w:pStyle w:val="BodyText"/>
              <w:spacing w:after="20" w:before="20"/>
            </w:pPr>
            <w:r>
              <w:rPr>
                <w:sz w:val="17"/>
              </w:rPr>
            </w:r>
            <w:r>
              <w:rPr>
                <w:sz w:val="17"/>
              </w:rPr>
              <w:t>0.0911</w:t>
            </w:r>
          </w:p>
        </w:tc>
        <w:tc>
          <w:tcPr>
            <w:tcW w:type="dxa" w:w="1296"/>
          </w:tcPr>
          <w:p>
            <w:pPr>
              <w:pStyle w:val="BodyText"/>
              <w:spacing w:after="20" w:before="20"/>
            </w:pPr>
            <w:r>
              <w:rPr>
                <w:sz w:val="17"/>
              </w:rPr>
            </w:r>
            <w:r>
              <w:rPr>
                <w:sz w:val="17"/>
              </w:rPr>
              <w:t>0.0538</w:t>
            </w:r>
          </w:p>
        </w:tc>
        <w:tc>
          <w:tcPr>
            <w:tcW w:type="dxa" w:w="1296"/>
          </w:tcPr>
          <w:p>
            <w:pPr>
              <w:pStyle w:val="BodyText"/>
              <w:spacing w:after="20" w:before="20"/>
            </w:pPr>
            <w:r>
              <w:rPr>
                <w:sz w:val="17"/>
              </w:rPr>
            </w:r>
            <w:r>
              <w:rPr>
                <w:sz w:val="17"/>
              </w:rPr>
              <w:t>0.0438</w:t>
            </w:r>
          </w:p>
        </w:tc>
        <w:tc>
          <w:tcPr>
            <w:tcW w:type="dxa" w:w="1296"/>
          </w:tcPr>
          <w:p>
            <w:pPr>
              <w:pStyle w:val="BodyText"/>
              <w:spacing w:after="20" w:before="20"/>
            </w:pPr>
            <w:r>
              <w:rPr>
                <w:sz w:val="17"/>
              </w:rPr>
            </w:r>
            <w:r>
              <w:rPr>
                <w:sz w:val="17"/>
              </w:rPr>
              <w:t>0.0362</w:t>
            </w:r>
          </w:p>
        </w:tc>
        <w:tc>
          <w:tcPr>
            <w:tcW w:type="dxa" w:w="1296"/>
          </w:tcPr>
          <w:p>
            <w:pPr>
              <w:pStyle w:val="BodyText"/>
              <w:spacing w:after="20" w:before="20"/>
            </w:pPr>
            <w:r>
              <w:rPr>
                <w:sz w:val="17"/>
              </w:rPr>
            </w:r>
            <w:r>
              <w:rPr>
                <w:sz w:val="17"/>
              </w:rPr>
              <w:t>0.0335</w:t>
            </w:r>
          </w:p>
        </w:tc>
        <w:tc>
          <w:tcPr>
            <w:tcW w:type="dxa" w:w="1296"/>
          </w:tcPr>
          <w:p>
            <w:pPr>
              <w:pStyle w:val="BodyText"/>
              <w:spacing w:after="20" w:before="20"/>
            </w:pPr>
            <w:r>
              <w:rPr>
                <w:sz w:val="17"/>
              </w:rPr>
            </w:r>
            <w:r>
              <w:rPr>
                <w:b/>
                <w:sz w:val="17"/>
              </w:rPr>
              <w:t>0.0319</w:t>
            </w:r>
          </w:p>
        </w:tc>
      </w:tr>
      <w:tr>
        <w:tc>
          <w:tcPr>
            <w:tcW w:type="dxa" w:w="1008"/>
          </w:tcPr>
          <w:p>
            <w:pPr>
              <w:pStyle w:val="BodyText"/>
              <w:spacing w:after="20" w:before="20"/>
            </w:pPr>
            <w:r>
              <w:rPr>
                <w:sz w:val="17"/>
              </w:rPr>
            </w:r>
            <w:r>
              <w:rPr>
                <w:sz w:val="17"/>
              </w:rPr>
              <w:t>Sala</w:t>
            </w:r>
          </w:p>
        </w:tc>
        <w:tc>
          <w:tcPr>
            <w:tcW w:type="dxa" w:w="1296"/>
          </w:tcPr>
          <w:p>
            <w:pPr>
              <w:pStyle w:val="BodyText"/>
              <w:spacing w:after="20" w:before="20"/>
            </w:pPr>
            <w:r>
              <w:rPr>
                <w:sz w:val="17"/>
              </w:rPr>
            </w:r>
            <w:r>
              <w:rPr>
                <w:sz w:val="17"/>
              </w:rPr>
              <w:t>0.0919</w:t>
            </w:r>
          </w:p>
        </w:tc>
        <w:tc>
          <w:tcPr>
            <w:tcW w:type="dxa" w:w="1296"/>
          </w:tcPr>
          <w:p>
            <w:pPr>
              <w:pStyle w:val="BodyText"/>
              <w:spacing w:after="20" w:before="20"/>
            </w:pPr>
            <w:r>
              <w:rPr>
                <w:sz w:val="17"/>
              </w:rPr>
            </w:r>
            <w:r>
              <w:rPr>
                <w:sz w:val="17"/>
              </w:rPr>
              <w:t>0.0663</w:t>
            </w:r>
          </w:p>
        </w:tc>
        <w:tc>
          <w:tcPr>
            <w:tcW w:type="dxa" w:w="1296"/>
          </w:tcPr>
          <w:p>
            <w:pPr>
              <w:pStyle w:val="BodyText"/>
              <w:spacing w:after="20" w:before="20"/>
            </w:pPr>
            <w:r>
              <w:rPr>
                <w:sz w:val="17"/>
              </w:rPr>
            </w:r>
            <w:r>
              <w:rPr>
                <w:sz w:val="17"/>
              </w:rPr>
              <w:t>0.0564</w:t>
            </w:r>
          </w:p>
        </w:tc>
        <w:tc>
          <w:tcPr>
            <w:tcW w:type="dxa" w:w="1296"/>
          </w:tcPr>
          <w:p>
            <w:pPr>
              <w:pStyle w:val="BodyText"/>
              <w:spacing w:after="20" w:before="20"/>
            </w:pPr>
            <w:r>
              <w:rPr>
                <w:sz w:val="17"/>
              </w:rPr>
            </w:r>
            <w:r>
              <w:rPr>
                <w:sz w:val="17"/>
              </w:rPr>
              <w:t>0.0477</w:t>
            </w:r>
          </w:p>
        </w:tc>
        <w:tc>
          <w:tcPr>
            <w:tcW w:type="dxa" w:w="1296"/>
          </w:tcPr>
          <w:p>
            <w:pPr>
              <w:pStyle w:val="BodyText"/>
              <w:spacing w:after="20" w:before="20"/>
            </w:pPr>
            <w:r>
              <w:rPr>
                <w:sz w:val="17"/>
              </w:rPr>
            </w:r>
            <w:r>
              <w:rPr>
                <w:sz w:val="17"/>
              </w:rPr>
              <w:t>0.0447</w:t>
            </w:r>
          </w:p>
        </w:tc>
        <w:tc>
          <w:tcPr>
            <w:tcW w:type="dxa" w:w="1296"/>
          </w:tcPr>
          <w:p>
            <w:pPr>
              <w:pStyle w:val="BodyText"/>
              <w:spacing w:after="20" w:before="20"/>
            </w:pPr>
            <w:r>
              <w:rPr>
                <w:sz w:val="17"/>
              </w:rPr>
            </w:r>
            <w:r>
              <w:rPr>
                <w:b/>
                <w:sz w:val="17"/>
              </w:rPr>
              <w:t>0.0429</w:t>
            </w:r>
          </w:p>
        </w:tc>
      </w:tr>
    </w:tbl>
    <w:p>
      <w:pPr>
        <w:pStyle w:val="BodyText"/>
        <w:spacing w:after="80"/>
      </w:pPr>
    </w:p>
    <w:p>
      <w:pPr>
        <w:pStyle w:val="BodyText"/>
      </w:pPr>
      <w:r>
        <w:t>The final 5,000 iterations improved the loss by 4.8% (lamp) and 4.0% (sala). Fitting L(t) = c + A·t^−b over the post-densification regime (16k–30k, after densification stops at 15,000) and extrapolating:</w:t>
      </w:r>
    </w:p>
    <w:p>
      <w:pPr>
        <w:jc w:val="center"/>
      </w:pPr>
      <w:r>
        <w:drawing>
          <wp:inline xmlns:a="http://schemas.openxmlformats.org/drawingml/2006/main" xmlns:pic="http://schemas.openxmlformats.org/drawingml/2006/picture">
            <wp:extent cx="4023360" cy="2621280"/>
            <wp:docPr id="6" name="Picture 6"/>
            <wp:cNvGraphicFramePr>
              <a:graphicFrameLocks noChangeAspect="1"/>
            </wp:cNvGraphicFramePr>
            <a:graphic>
              <a:graphicData uri="http://schemas.openxmlformats.org/drawingml/2006/picture">
                <pic:pic>
                  <pic:nvPicPr>
                    <pic:cNvPr id="0" name="fig_loss.png"/>
                    <pic:cNvPicPr/>
                  </pic:nvPicPr>
                  <pic:blipFill>
                    <a:blip r:embed="rId33"/>
                    <a:stretch>
                      <a:fillRect/>
                    </a:stretch>
                  </pic:blipFill>
                  <pic:spPr>
                    <a:xfrm>
                      <a:off x="0" y="0"/>
                      <a:ext cx="4023360" cy="2621280"/>
                    </a:xfrm>
                    <a:prstGeom prst="rect"/>
                  </pic:spPr>
                </pic:pic>
              </a:graphicData>
            </a:graphic>
          </wp:inline>
        </w:drawing>
      </w:r>
    </w:p>
    <w:p>
      <w:pPr>
        <w:pStyle w:val="figurecaption"/>
        <w:jc w:val="center"/>
      </w:pPr>
      <w:r>
        <w:t>Fig. 6.  Measured loss (solid) with the fitted extrapolation (dashed) and its asymptote (dotted). The asymptote bounds what any amount of further training could achieve.</w:t>
      </w:r>
    </w:p>
    <w:p>
      <w:pPr>
        <w:pStyle w:val="tablehead"/>
        <w:jc w:val="center"/>
      </w:pPr>
      <w:r>
        <w:t>TABLE 12.  Extrapolated training loss.</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3168"/>
            <w:shd w:val="clear" w:fill="EFEFEC"/>
          </w:tcPr>
          <w:p>
            <w:pPr>
              <w:pStyle w:val="BodyText"/>
              <w:spacing w:after="20" w:before="20"/>
            </w:pPr>
            <w:r>
              <w:rPr>
                <w:b/>
                <w:sz w:val="17"/>
              </w:rPr>
            </w:r>
            <w:r>
              <w:rPr>
                <w:b/>
                <w:sz w:val="17"/>
              </w:rPr>
              <w:t>Iterations</w:t>
            </w:r>
          </w:p>
        </w:tc>
        <w:tc>
          <w:tcPr>
            <w:tcW w:type="dxa" w:w="3024"/>
            <w:shd w:val="clear" w:fill="EFEFEC"/>
          </w:tcPr>
          <w:p>
            <w:pPr>
              <w:pStyle w:val="BodyText"/>
              <w:spacing w:after="20" w:before="20"/>
            </w:pPr>
            <w:r>
              <w:rPr>
                <w:b/>
                <w:sz w:val="17"/>
              </w:rPr>
            </w:r>
            <w:r>
              <w:rPr>
                <w:b/>
                <w:sz w:val="17"/>
              </w:rPr>
              <w:t>Lamp</w:t>
            </w:r>
          </w:p>
        </w:tc>
        <w:tc>
          <w:tcPr>
            <w:tcW w:type="dxa" w:w="3024"/>
            <w:shd w:val="clear" w:fill="EFEFEC"/>
          </w:tcPr>
          <w:p>
            <w:pPr>
              <w:pStyle w:val="BodyText"/>
              <w:spacing w:after="20" w:before="20"/>
            </w:pPr>
            <w:r>
              <w:rPr>
                <w:b/>
                <w:sz w:val="17"/>
              </w:rPr>
            </w:r>
            <w:r>
              <w:rPr>
                <w:b/>
                <w:sz w:val="17"/>
              </w:rPr>
              <w:t>Sala</w:t>
            </w:r>
          </w:p>
        </w:tc>
      </w:tr>
      <w:tr>
        <w:tc>
          <w:tcPr>
            <w:tcW w:type="dxa" w:w="3168"/>
          </w:tcPr>
          <w:p>
            <w:pPr>
              <w:pStyle w:val="BodyText"/>
              <w:spacing w:after="20" w:before="20"/>
            </w:pPr>
            <w:r>
              <w:rPr>
                <w:sz w:val="17"/>
              </w:rPr>
            </w:r>
            <w:r>
              <w:rPr>
                <w:sz w:val="17"/>
              </w:rPr>
              <w:t>30,000 (measured)</w:t>
            </w:r>
          </w:p>
        </w:tc>
        <w:tc>
          <w:tcPr>
            <w:tcW w:type="dxa" w:w="3024"/>
          </w:tcPr>
          <w:p>
            <w:pPr>
              <w:pStyle w:val="BodyText"/>
              <w:spacing w:after="20" w:before="20"/>
            </w:pPr>
            <w:r>
              <w:rPr>
                <w:sz w:val="17"/>
              </w:rPr>
            </w:r>
            <w:r>
              <w:rPr>
                <w:sz w:val="17"/>
              </w:rPr>
              <w:t>0.0319</w:t>
            </w:r>
          </w:p>
        </w:tc>
        <w:tc>
          <w:tcPr>
            <w:tcW w:type="dxa" w:w="3024"/>
          </w:tcPr>
          <w:p>
            <w:pPr>
              <w:pStyle w:val="BodyText"/>
              <w:spacing w:after="20" w:before="20"/>
            </w:pPr>
            <w:r>
              <w:rPr>
                <w:sz w:val="17"/>
              </w:rPr>
            </w:r>
            <w:r>
              <w:rPr>
                <w:sz w:val="17"/>
              </w:rPr>
              <w:t>0.0429</w:t>
            </w:r>
          </w:p>
        </w:tc>
      </w:tr>
      <w:tr>
        <w:tc>
          <w:tcPr>
            <w:tcW w:type="dxa" w:w="3168"/>
          </w:tcPr>
          <w:p>
            <w:pPr>
              <w:pStyle w:val="BodyText"/>
              <w:spacing w:after="20" w:before="20"/>
            </w:pPr>
            <w:r>
              <w:rPr>
                <w:sz w:val="17"/>
              </w:rPr>
            </w:r>
            <w:r>
              <w:rPr>
                <w:sz w:val="17"/>
              </w:rPr>
              <w:t>40,000</w:t>
            </w:r>
          </w:p>
        </w:tc>
        <w:tc>
          <w:tcPr>
            <w:tcW w:type="dxa" w:w="3024"/>
          </w:tcPr>
          <w:p>
            <w:pPr>
              <w:pStyle w:val="BodyText"/>
              <w:spacing w:after="20" w:before="20"/>
            </w:pPr>
            <w:r>
              <w:rPr>
                <w:sz w:val="17"/>
              </w:rPr>
            </w:r>
            <w:r>
              <w:rPr>
                <w:sz w:val="17"/>
              </w:rPr>
              <w:t>0.0302 (−4.3%)</w:t>
            </w:r>
          </w:p>
        </w:tc>
        <w:tc>
          <w:tcPr>
            <w:tcW w:type="dxa" w:w="3024"/>
          </w:tcPr>
          <w:p>
            <w:pPr>
              <w:pStyle w:val="BodyText"/>
              <w:spacing w:after="20" w:before="20"/>
            </w:pPr>
            <w:r>
              <w:rPr>
                <w:sz w:val="17"/>
              </w:rPr>
            </w:r>
            <w:r>
              <w:rPr>
                <w:sz w:val="17"/>
              </w:rPr>
              <w:t>0.0413 (−3.0%)</w:t>
            </w:r>
          </w:p>
        </w:tc>
      </w:tr>
      <w:tr>
        <w:tc>
          <w:tcPr>
            <w:tcW w:type="dxa" w:w="3168"/>
          </w:tcPr>
          <w:p>
            <w:pPr>
              <w:pStyle w:val="BodyText"/>
              <w:spacing w:after="20" w:before="20"/>
            </w:pPr>
            <w:r>
              <w:rPr>
                <w:sz w:val="17"/>
              </w:rPr>
            </w:r>
            <w:r>
              <w:rPr>
                <w:sz w:val="17"/>
              </w:rPr>
              <w:t>60,000</w:t>
            </w:r>
          </w:p>
        </w:tc>
        <w:tc>
          <w:tcPr>
            <w:tcW w:type="dxa" w:w="3024"/>
          </w:tcPr>
          <w:p>
            <w:pPr>
              <w:pStyle w:val="BodyText"/>
              <w:spacing w:after="20" w:before="20"/>
            </w:pPr>
            <w:r>
              <w:rPr>
                <w:sz w:val="17"/>
              </w:rPr>
            </w:r>
            <w:r>
              <w:rPr>
                <w:sz w:val="17"/>
              </w:rPr>
              <w:t>0.0291 (−7.8%)</w:t>
            </w:r>
          </w:p>
        </w:tc>
        <w:tc>
          <w:tcPr>
            <w:tcW w:type="dxa" w:w="3024"/>
          </w:tcPr>
          <w:p>
            <w:pPr>
              <w:pStyle w:val="BodyText"/>
              <w:spacing w:after="20" w:before="20"/>
            </w:pPr>
            <w:r>
              <w:rPr>
                <w:sz w:val="17"/>
              </w:rPr>
            </w:r>
            <w:r>
              <w:rPr>
                <w:sz w:val="17"/>
              </w:rPr>
              <w:t>0.0404 (−5.1%)</w:t>
            </w:r>
          </w:p>
        </w:tc>
      </w:tr>
      <w:tr>
        <w:tc>
          <w:tcPr>
            <w:tcW w:type="dxa" w:w="3168"/>
          </w:tcPr>
          <w:p>
            <w:pPr>
              <w:pStyle w:val="BodyText"/>
              <w:spacing w:after="20" w:before="20"/>
            </w:pPr>
            <w:r>
              <w:rPr>
                <w:sz w:val="17"/>
              </w:rPr>
            </w:r>
            <w:r>
              <w:rPr>
                <w:sz w:val="17"/>
              </w:rPr>
              <w:t>∞ (fitted asymptote)</w:t>
            </w:r>
          </w:p>
        </w:tc>
        <w:tc>
          <w:tcPr>
            <w:tcW w:type="dxa" w:w="3024"/>
          </w:tcPr>
          <w:p>
            <w:pPr>
              <w:pStyle w:val="BodyText"/>
              <w:spacing w:after="20" w:before="20"/>
            </w:pPr>
            <w:r>
              <w:rPr>
                <w:sz w:val="17"/>
              </w:rPr>
            </w:r>
            <w:r>
              <w:rPr>
                <w:b/>
                <w:sz w:val="17"/>
              </w:rPr>
              <w:t>0.0278 (−11.7%)</w:t>
            </w:r>
          </w:p>
        </w:tc>
        <w:tc>
          <w:tcPr>
            <w:tcW w:type="dxa" w:w="3024"/>
          </w:tcPr>
          <w:p>
            <w:pPr>
              <w:pStyle w:val="BodyText"/>
              <w:spacing w:after="20" w:before="20"/>
            </w:pPr>
            <w:r>
              <w:rPr>
                <w:sz w:val="17"/>
              </w:rPr>
            </w:r>
            <w:r>
              <w:rPr>
                <w:b/>
                <w:sz w:val="17"/>
              </w:rPr>
              <w:t>0.0396 (−6.9%)</w:t>
            </w:r>
          </w:p>
        </w:tc>
      </w:tr>
    </w:tbl>
    <w:p>
      <w:pPr>
        <w:pStyle w:val="BodyText"/>
        <w:spacing w:after="80"/>
      </w:pPr>
    </w:p>
    <w:p>
      <w:pPr>
        <w:pStyle w:val="BodyText"/>
      </w:pPr>
      <w:r>
        <w:t>The asymptote is the important row: it bounds what any amount of further training could ever achieve. For the sala that ceiling is 6.9%, worth on the order of +0.3 dB, and roughly half of it would be reached by 40,000 iterations at a cost of about 2 h 20 m of additional GPU. For comparison, fixing the sky mask is worth 2.40 dB and costs no GPU at all.</w:t>
      </w:r>
    </w:p>
    <w:p>
      <w:pPr>
        <w:pStyle w:val="BodyText"/>
      </w:pPr>
      <w:r>
        <w:t>One implementation detail bears on any attempt to extend a run: 3DGS decays the position learning rate over position_lr_max_steps, which defaults to 30,000. Resuming a finished 30,000-iteration checkpoint therefore continues at the floor of that schedule, where Gaussians barely move, and yields materially less than the extrapolation above. Reaching the predicted values requires a fresh run with --iterations 40000 so that the schedule stretches.</w:t>
      </w:r>
    </w:p>
    <w:p>
      <w:pPr>
        <w:pStyle w:val="BodyText"/>
      </w:pPr>
      <w:r>
        <w:rPr>
          <w:b/>
        </w:rPr>
        <w:t>Conclusion: 30,000 iterations was the correct stopping point.</w:t>
      </w:r>
      <w:r>
        <w:t xml:space="preserve"> Training is not the binding constraint on any result in this report.</w:t>
      </w:r>
    </w:p>
    <w:p>
      <w:pPr>
        <w:pStyle w:val="Heading1"/>
      </w:pPr>
      <w:r>
        <w:t>The Viewer</w:t>
      </w:r>
    </w:p>
    <w:p>
      <w:pPr>
        <w:pStyle w:val="BodyText"/>
      </w:pPr>
      <w:r>
        <w:t>Both models are published as interactive pages alongside the existing image-based renderer and photogrammetry mesh, and linked from index.html. Consistent with the project’s standing constraint, these are the clearly-labelled reconstruction comparison arm and are never mixed into the image-based rendering pipeline.</w:t>
      </w:r>
    </w:p>
    <w:p>
      <w:pPr>
        <w:pStyle w:val="tablehead"/>
        <w:jc w:val="center"/>
      </w:pPr>
      <w:r>
        <w:t>TABLE 13.  Published viewer pages.</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060"/>
        <w:gridCol w:w="5060"/>
      </w:tblGrid>
      <w:tr>
        <w:tc>
          <w:tcPr>
            <w:tcW w:type="dxa" w:w="2304"/>
            <w:shd w:val="clear" w:fill="EFEFEC"/>
          </w:tcPr>
          <w:p>
            <w:pPr>
              <w:pStyle w:val="BodyText"/>
              <w:spacing w:after="20" w:before="20"/>
            </w:pPr>
            <w:r>
              <w:rPr>
                <w:b/>
                <w:sz w:val="17"/>
              </w:rPr>
            </w:r>
            <w:r>
              <w:rPr>
                <w:b/>
                <w:sz w:val="17"/>
              </w:rPr>
              <w:t>Page</w:t>
            </w:r>
          </w:p>
        </w:tc>
        <w:tc>
          <w:tcPr>
            <w:tcW w:type="dxa" w:w="6912"/>
            <w:shd w:val="clear" w:fill="EFEFEC"/>
          </w:tcPr>
          <w:p>
            <w:pPr>
              <w:pStyle w:val="BodyText"/>
              <w:spacing w:after="20" w:before="20"/>
            </w:pPr>
            <w:r>
              <w:rPr>
                <w:b/>
                <w:sz w:val="17"/>
              </w:rPr>
            </w:r>
            <w:r>
              <w:rPr>
                <w:b/>
                <w:sz w:val="17"/>
              </w:rPr>
              <w:t>Model</w:t>
            </w:r>
          </w:p>
        </w:tc>
      </w:tr>
      <w:tr>
        <w:tc>
          <w:tcPr>
            <w:tcW w:type="dxa" w:w="2304"/>
          </w:tcPr>
          <w:p>
            <w:pPr>
              <w:pStyle w:val="BodyText"/>
              <w:spacing w:after="20" w:before="20"/>
            </w:pPr>
            <w:r>
              <w:rPr>
                <w:sz w:val="17"/>
              </w:rPr>
            </w:r>
            <w:r>
              <w:rPr>
                <w:sz w:val="17"/>
              </w:rPr>
              <w:t>sala.html</w:t>
            </w:r>
          </w:p>
        </w:tc>
        <w:tc>
          <w:tcPr>
            <w:tcW w:type="dxa" w:w="6912"/>
          </w:tcPr>
          <w:p>
            <w:pPr>
              <w:pStyle w:val="BodyText"/>
              <w:spacing w:after="20" w:before="20"/>
            </w:pPr>
            <w:r>
              <w:rPr>
                <w:sz w:val="17"/>
              </w:rPr>
            </w:r>
            <w:r>
              <w:rPr>
                <w:sz w:val="17"/>
              </w:rPr>
              <w:t>September capture, 291,764 Gaussians, 395 poses</w:t>
            </w:r>
          </w:p>
        </w:tc>
      </w:tr>
      <w:tr>
        <w:tc>
          <w:tcPr>
            <w:tcW w:type="dxa" w:w="2304"/>
          </w:tcPr>
          <w:p>
            <w:pPr>
              <w:pStyle w:val="BodyText"/>
              <w:spacing w:after="20" w:before="20"/>
            </w:pPr>
            <w:r>
              <w:rPr>
                <w:sz w:val="17"/>
              </w:rPr>
            </w:r>
            <w:r>
              <w:rPr>
                <w:sz w:val="17"/>
              </w:rPr>
              <w:t>lamp.html</w:t>
            </w:r>
          </w:p>
        </w:tc>
        <w:tc>
          <w:tcPr>
            <w:tcW w:type="dxa" w:w="6912"/>
          </w:tcPr>
          <w:p>
            <w:pPr>
              <w:pStyle w:val="BodyText"/>
              <w:spacing w:after="20" w:before="20"/>
            </w:pPr>
            <w:r>
              <w:rPr>
                <w:sz w:val="17"/>
              </w:rPr>
            </w:r>
            <w:r>
              <w:rPr>
                <w:sz w:val="17"/>
              </w:rPr>
              <w:t>163,756 Gaussians, 100 poses</w:t>
            </w:r>
          </w:p>
        </w:tc>
      </w:tr>
      <w:tr>
        <w:tc>
          <w:tcPr>
            <w:tcW w:type="dxa" w:w="2304"/>
          </w:tcPr>
          <w:p>
            <w:pPr>
              <w:pStyle w:val="BodyText"/>
              <w:spacing w:after="20" w:before="20"/>
            </w:pPr>
            <w:r>
              <w:rPr>
                <w:sz w:val="17"/>
              </w:rPr>
            </w:r>
            <w:r>
              <w:rPr>
                <w:sz w:val="17"/>
              </w:rPr>
              <w:t>splat.html</w:t>
            </w:r>
          </w:p>
        </w:tc>
        <w:tc>
          <w:tcPr>
            <w:tcW w:type="dxa" w:w="6912"/>
          </w:tcPr>
          <w:p>
            <w:pPr>
              <w:pStyle w:val="BodyText"/>
              <w:spacing w:after="20" w:before="20"/>
            </w:pPr>
            <w:r>
              <w:rPr>
                <w:sz w:val="17"/>
              </w:rPr>
            </w:r>
            <w:r>
              <w:rPr>
                <w:sz w:val="17"/>
              </w:rPr>
              <w:t>August version2 capture, retained for comparison</w:t>
            </w:r>
          </w:p>
        </w:tc>
      </w:tr>
    </w:tbl>
    <w:p>
      <w:pPr>
        <w:pStyle w:val="BodyText"/>
        <w:spacing w:after="80"/>
      </w:pPr>
    </w:p>
    <w:p>
      <w:pPr>
        <w:pStyle w:val="BodyText"/>
      </w:pPr>
      <w:r>
        <w:t>Each embeds its model as base64 in a JavaScript global and reads the renderer from vendor/splat.js (antimatter15/splat, MIT), so the pages open from file:// with no server and no build step — the same constraint the rest of the viewer observes. The vendored renderer was extended by six lines to accept per-page camera poses and an opening view matrix; pages that supply neither are unaffected, so the existing splat.html renders exactly as before.</w:t>
      </w:r>
    </w:p>
    <w:p>
      <w:pPr>
        <w:pStyle w:val="BodyText"/>
      </w:pPr>
      <w:r>
        <w:t xml:space="preserve">The published models are the </w:t>
      </w:r>
      <w:r>
        <w:rPr>
          <w:b/>
        </w:rPr>
        <w:t>cropped</w:t>
      </w:r>
      <w:r>
        <w:t xml:space="preserve"> fields, not the full ones. This is deliberate: the discarded Gaussians are the background that scores around 10 dB, and including them would make the pages both heavier and worse. The sala page shows 291,764 of 653,917 Gaussians; the lamp page 163,756 of 1,053,976. Both pages state their own limitations, with the measured numbers, rather than presenting a headline score without context.</w:t>
      </w:r>
    </w:p>
    <w:p>
      <w:pPr>
        <w:jc w:val="center"/>
      </w:pPr>
      <w:r>
        <w:drawing>
          <wp:inline xmlns:a="http://schemas.openxmlformats.org/drawingml/2006/main" xmlns:pic="http://schemas.openxmlformats.org/drawingml/2006/picture">
            <wp:extent cx="3291840" cy="6149157"/>
            <wp:docPr id="7" name="Picture 7"/>
            <wp:cNvGraphicFramePr>
              <a:graphicFrameLocks noChangeAspect="1"/>
            </wp:cNvGraphicFramePr>
            <a:graphic>
              <a:graphicData uri="http://schemas.openxmlformats.org/drawingml/2006/picture">
                <pic:pic>
                  <pic:nvPicPr>
                    <pic:cNvPr id="0" name="fig_lamp_observed_vs_not.png"/>
                    <pic:cNvPicPr/>
                  </pic:nvPicPr>
                  <pic:blipFill>
                    <a:blip r:embed="rId34"/>
                    <a:stretch>
                      <a:fillRect/>
                    </a:stretch>
                  </pic:blipFill>
                  <pic:spPr>
                    <a:xfrm>
                      <a:off x="0" y="0"/>
                      <a:ext cx="3291840" cy="6149157"/>
                    </a:xfrm>
                    <a:prstGeom prst="rect"/>
                  </pic:spPr>
                </pic:pic>
              </a:graphicData>
            </a:graphic>
          </wp:inline>
        </w:drawing>
      </w:r>
    </w:p>
    <w:p>
      <w:pPr>
        <w:pStyle w:val="figurecaption"/>
        <w:jc w:val="center"/>
      </w:pPr>
      <w:r>
        <w:t>Fig. 7.  The lamp model. A: from a photographed pose, where the mouldings resolve cleanly. B: from above, outside the envelope its three orbits covered.</w:t>
      </w:r>
    </w:p>
    <w:p>
      <w:pPr>
        <w:pStyle w:val="Heading1"/>
      </w:pPr>
      <w:r>
        <w:t>Process Failures, and What They Cost</w:t>
      </w:r>
    </w:p>
    <w:p>
      <w:pPr>
        <w:pStyle w:val="tablehead"/>
        <w:jc w:val="center"/>
      </w:pPr>
      <w:r>
        <w:t>TABLE 14.  Process failures.</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373"/>
        <w:gridCol w:w="3373"/>
        <w:gridCol w:w="3373"/>
      </w:tblGrid>
      <w:tr>
        <w:tc>
          <w:tcPr>
            <w:tcW w:type="dxa" w:w="3744"/>
            <w:shd w:val="clear" w:fill="EFEFEC"/>
          </w:tcPr>
          <w:p>
            <w:pPr>
              <w:pStyle w:val="BodyText"/>
              <w:spacing w:after="20" w:before="20"/>
            </w:pPr>
            <w:r>
              <w:rPr>
                <w:b/>
                <w:sz w:val="17"/>
              </w:rPr>
            </w:r>
            <w:r>
              <w:rPr>
                <w:b/>
                <w:sz w:val="17"/>
              </w:rPr>
              <w:t>Failure</w:t>
            </w:r>
          </w:p>
        </w:tc>
        <w:tc>
          <w:tcPr>
            <w:tcW w:type="dxa" w:w="2448"/>
            <w:shd w:val="clear" w:fill="EFEFEC"/>
          </w:tcPr>
          <w:p>
            <w:pPr>
              <w:pStyle w:val="BodyText"/>
              <w:spacing w:after="20" w:before="20"/>
            </w:pPr>
            <w:r>
              <w:rPr>
                <w:b/>
                <w:sz w:val="17"/>
              </w:rPr>
            </w:r>
            <w:r>
              <w:rPr>
                <w:b/>
                <w:sz w:val="17"/>
              </w:rPr>
              <w:t>Cost</w:t>
            </w:r>
          </w:p>
        </w:tc>
        <w:tc>
          <w:tcPr>
            <w:tcW w:type="dxa" w:w="3168"/>
            <w:shd w:val="clear" w:fill="EFEFEC"/>
          </w:tcPr>
          <w:p>
            <w:pPr>
              <w:pStyle w:val="BodyText"/>
              <w:spacing w:after="20" w:before="20"/>
            </w:pPr>
            <w:r>
              <w:rPr>
                <w:b/>
                <w:sz w:val="17"/>
              </w:rPr>
            </w:r>
            <w:r>
              <w:rPr>
                <w:b/>
                <w:sz w:val="17"/>
              </w:rPr>
              <w:t>Correction</w:t>
            </w:r>
          </w:p>
        </w:tc>
      </w:tr>
      <w:tr>
        <w:tc>
          <w:tcPr>
            <w:tcW w:type="dxa" w:w="3744"/>
          </w:tcPr>
          <w:p>
            <w:pPr>
              <w:pStyle w:val="BodyText"/>
              <w:spacing w:after="20" w:before="20"/>
            </w:pPr>
            <w:r>
              <w:rPr>
                <w:sz w:val="17"/>
              </w:rPr>
            </w:r>
            <w:r>
              <w:rPr>
                <w:sz w:val="17"/>
              </w:rPr>
              <w:t>A pipeline path — undistort to train — that had never been executed was assumed to work</w:t>
            </w:r>
          </w:p>
        </w:tc>
        <w:tc>
          <w:tcPr>
            <w:tcW w:type="dxa" w:w="2448"/>
          </w:tcPr>
          <w:p>
            <w:pPr>
              <w:pStyle w:val="BodyText"/>
              <w:spacing w:after="20" w:before="20"/>
            </w:pPr>
            <w:r>
              <w:rPr>
                <w:sz w:val="17"/>
              </w:rPr>
            </w:r>
            <w:r>
              <w:rPr>
                <w:sz w:val="17"/>
              </w:rPr>
              <w:t>One full Kaggle run, ~3 h</w:t>
            </w:r>
          </w:p>
        </w:tc>
        <w:tc>
          <w:tcPr>
            <w:tcW w:type="dxa" w:w="3168"/>
          </w:tcPr>
          <w:p>
            <w:pPr>
              <w:pStyle w:val="BodyText"/>
              <w:spacing w:after="20" w:before="20"/>
            </w:pPr>
            <w:r>
              <w:rPr>
                <w:sz w:val="17"/>
              </w:rPr>
            </w:r>
            <w:r>
              <w:rPr>
                <w:sz w:val="17"/>
              </w:rPr>
              <w:t>Verified locally end to end against 3DGS’s own loader before re-running</w:t>
            </w:r>
          </w:p>
        </w:tc>
      </w:tr>
      <w:tr>
        <w:tc>
          <w:tcPr>
            <w:tcW w:type="dxa" w:w="3744"/>
          </w:tcPr>
          <w:p>
            <w:pPr>
              <w:pStyle w:val="BodyText"/>
              <w:spacing w:after="20" w:before="20"/>
            </w:pPr>
            <w:r>
              <w:rPr>
                <w:sz w:val="17"/>
              </w:rPr>
            </w:r>
            <w:r>
              <w:rPr>
                <w:sz w:val="17"/>
              </w:rPr>
              <w:t>The fold check was applied to captures whose frame ordering could not be verified</w:t>
            </w:r>
          </w:p>
        </w:tc>
        <w:tc>
          <w:tcPr>
            <w:tcW w:type="dxa" w:w="2448"/>
          </w:tcPr>
          <w:p>
            <w:pPr>
              <w:pStyle w:val="BodyText"/>
              <w:spacing w:after="20" w:before="20"/>
            </w:pPr>
            <w:r>
              <w:rPr>
                <w:sz w:val="17"/>
              </w:rPr>
            </w:r>
            <w:r>
              <w:rPr>
                <w:sz w:val="17"/>
              </w:rPr>
              <w:t>Two runs rejected on a test that did not apply</w:t>
            </w:r>
          </w:p>
        </w:tc>
        <w:tc>
          <w:tcPr>
            <w:tcW w:type="dxa" w:w="3168"/>
          </w:tcPr>
          <w:p>
            <w:pPr>
              <w:pStyle w:val="BodyText"/>
              <w:spacing w:after="20" w:before="20"/>
            </w:pPr>
            <w:r>
              <w:rPr>
                <w:sz w:val="17"/>
              </w:rPr>
            </w:r>
            <w:r>
              <w:rPr>
                <w:sz w:val="17"/>
              </w:rPr>
              <w:t>Gated to captures with verified ordering; now warns rather than aborting</w:t>
            </w:r>
          </w:p>
        </w:tc>
      </w:tr>
      <w:tr>
        <w:tc>
          <w:tcPr>
            <w:tcW w:type="dxa" w:w="3744"/>
          </w:tcPr>
          <w:p>
            <w:pPr>
              <w:pStyle w:val="BodyText"/>
              <w:spacing w:after="20" w:before="20"/>
            </w:pPr>
            <w:r>
              <w:rPr>
                <w:sz w:val="17"/>
              </w:rPr>
            </w:r>
            <w:r>
              <w:rPr>
                <w:sz w:val="17"/>
              </w:rPr>
              <w:t>The sky mask was never checked for consistency between views, only for whether it ate the subject</w:t>
            </w:r>
          </w:p>
        </w:tc>
        <w:tc>
          <w:tcPr>
            <w:tcW w:type="dxa" w:w="2448"/>
          </w:tcPr>
          <w:p>
            <w:pPr>
              <w:pStyle w:val="BodyText"/>
              <w:spacing w:after="20" w:before="20"/>
            </w:pPr>
            <w:r>
              <w:rPr>
                <w:sz w:val="17"/>
              </w:rPr>
            </w:r>
            <w:r>
              <w:rPr>
                <w:sz w:val="17"/>
              </w:rPr>
              <w:t>2.2–2.4 dB in every reported score</w:t>
            </w:r>
          </w:p>
        </w:tc>
        <w:tc>
          <w:tcPr>
            <w:tcW w:type="dxa" w:w="3168"/>
          </w:tcPr>
          <w:p>
            <w:pPr>
              <w:pStyle w:val="BodyText"/>
              <w:spacing w:after="20" w:before="20"/>
            </w:pPr>
            <w:r>
              <w:rPr>
                <w:sz w:val="17"/>
              </w:rPr>
            </w:r>
            <w:r>
              <w:rPr>
                <w:sz w:val="17"/>
              </w:rPr>
              <w:t>Measured this round; not yet fixed</w:t>
            </w:r>
          </w:p>
        </w:tc>
      </w:tr>
      <w:tr>
        <w:tc>
          <w:tcPr>
            <w:tcW w:type="dxa" w:w="3744"/>
          </w:tcPr>
          <w:p>
            <w:pPr>
              <w:pStyle w:val="BodyText"/>
              <w:spacing w:after="20" w:before="20"/>
            </w:pPr>
            <w:r>
              <w:rPr>
                <w:sz w:val="17"/>
              </w:rPr>
            </w:r>
            <w:r>
              <w:rPr>
                <w:sz w:val="17"/>
              </w:rPr>
              <w:t>The elevated-viewpoint instruction was not carried through to the capture plan</w:t>
            </w:r>
          </w:p>
        </w:tc>
        <w:tc>
          <w:tcPr>
            <w:tcW w:type="dxa" w:w="2448"/>
          </w:tcPr>
          <w:p>
            <w:pPr>
              <w:pStyle w:val="BodyText"/>
              <w:spacing w:after="20" w:before="20"/>
            </w:pPr>
            <w:r>
              <w:rPr>
                <w:sz w:val="17"/>
              </w:rPr>
            </w:r>
            <w:r>
              <w:rPr>
                <w:sz w:val="17"/>
              </w:rPr>
              <w:t>The roof is unobserved for a second consecutive round</w:t>
            </w:r>
          </w:p>
        </w:tc>
        <w:tc>
          <w:tcPr>
            <w:tcW w:type="dxa" w:w="3168"/>
          </w:tcPr>
          <w:p>
            <w:pPr>
              <w:pStyle w:val="BodyText"/>
              <w:spacing w:after="20" w:before="20"/>
            </w:pPr>
            <w:r>
              <w:rPr>
                <w:sz w:val="17"/>
              </w:rPr>
            </w:r>
            <w:r>
              <w:rPr>
                <w:sz w:val="17"/>
              </w:rPr>
              <w:t>Must appear in the capture one-pager as a required segment, not a recommendation</w:t>
            </w:r>
          </w:p>
        </w:tc>
      </w:tr>
      <w:tr>
        <w:tc>
          <w:tcPr>
            <w:tcW w:type="dxa" w:w="3744"/>
          </w:tcPr>
          <w:p>
            <w:pPr>
              <w:pStyle w:val="BodyText"/>
              <w:spacing w:after="20" w:before="20"/>
            </w:pPr>
            <w:r>
              <w:rPr>
                <w:sz w:val="17"/>
              </w:rPr>
            </w:r>
            <w:r>
              <w:rPr>
                <w:sz w:val="17"/>
              </w:rPr>
              <w:t>Full-frame PSNR was quoted for four rounds without asking what share of the frame is subject</w:t>
            </w:r>
          </w:p>
        </w:tc>
        <w:tc>
          <w:tcPr>
            <w:tcW w:type="dxa" w:w="2448"/>
          </w:tcPr>
          <w:p>
            <w:pPr>
              <w:pStyle w:val="BodyText"/>
              <w:spacing w:after="20" w:before="20"/>
            </w:pPr>
            <w:r>
              <w:rPr>
                <w:sz w:val="17"/>
              </w:rPr>
            </w:r>
            <w:r>
              <w:rPr>
                <w:sz w:val="17"/>
              </w:rPr>
              <w:t>Understated every object-scale result</w:t>
            </w:r>
          </w:p>
        </w:tc>
        <w:tc>
          <w:tcPr>
            <w:tcW w:type="dxa" w:w="3168"/>
          </w:tcPr>
          <w:p>
            <w:pPr>
              <w:pStyle w:val="BodyText"/>
              <w:spacing w:after="20" w:before="20"/>
            </w:pPr>
            <w:r>
              <w:rPr>
                <w:sz w:val="17"/>
              </w:rPr>
            </w:r>
            <w:r>
              <w:rPr>
                <w:sz w:val="17"/>
              </w:rPr>
              <w:t>Region-decomposed scores reported alongside the headline from this round on</w:t>
            </w:r>
          </w:p>
        </w:tc>
      </w:tr>
    </w:tbl>
    <w:p>
      <w:pPr>
        <w:pStyle w:val="BodyText"/>
        <w:spacing w:after="80"/>
      </w:pPr>
    </w:p>
    <w:p>
      <w:pPr>
        <w:pStyle w:val="BodyText"/>
      </w:pPr>
      <w:r>
        <w:t xml:space="preserve">The pattern across this round and the last is consistent: </w:t>
      </w:r>
      <w:r>
        <w:rPr>
          <w:b/>
        </w:rPr>
        <w:t>the failures were in verification, not in the method.</w:t>
      </w:r>
      <w:r>
        <w:t xml:space="preserve"> Every one was a case of a number or a stage being trusted without being checked against what it actually measured.</w:t>
      </w:r>
    </w:p>
    <w:p>
      <w:pPr>
        <w:pStyle w:val="Heading1"/>
      </w:pPr>
      <w:r>
        <w:t>What Version 6 Should Do</w:t>
      </w:r>
    </w:p>
    <w:p>
      <w:pPr>
        <w:pStyle w:val="BodyText"/>
      </w:pPr>
      <w:r>
        <w:t>In order of cost.</w:t>
      </w:r>
    </w:p>
    <w:p>
      <w:pPr>
        <w:pStyle w:val="bulletlist"/>
      </w:pPr>
      <w:r>
        <w:rPr>
          <w:b/>
        </w:rPr>
        <w:t>Fix the sky mask, retrain nothing.</w:t>
      </w:r>
      <w:r>
        <w:t xml:space="preserve"> Enforce view-consistency — either mask nothing and let the crop remove distant floaters, or segment the sky per-frame with a model that does not flip between adjacent views. Worth 2.2–2.4 dB, zero GPU.</w:t>
      </w:r>
    </w:p>
    <w:p>
      <w:pPr>
        <w:pStyle w:val="bulletlist"/>
      </w:pPr>
      <w:r>
        <w:rPr>
          <w:b/>
        </w:rPr>
        <w:t>Constrain the viewer’s camera</w:t>
      </w:r>
      <w:r>
        <w:t xml:space="preserve"> to the photographed envelope (−30° to 0° for the sala, −43° to +43° for the lamp) so unobserved directions cannot be flown into. No retraining; removes the most visible artefact in the published pages.</w:t>
      </w:r>
    </w:p>
    <w:p>
      <w:pPr>
        <w:pStyle w:val="bulletlist"/>
      </w:pPr>
      <w:r>
        <w:rPr>
          <w:b/>
        </w:rPr>
        <w:t>Train the interior sub-model</w:t>
      </w:r>
      <w:r>
        <w:t xml:space="preserve"> from sparse/1. 71 photographs already reconstructed, ~40 min GPU, and it adds content that currently exists in no model.</w:t>
      </w:r>
    </w:p>
    <w:p>
      <w:pPr>
        <w:pStyle w:val="bulletlist"/>
      </w:pPr>
      <w:r>
        <w:rPr>
          <w:b/>
        </w:rPr>
        <w:t>Train the far set</w:t>
      </w:r>
      <w:r>
        <w:t xml:space="preserve"> — 171 photographs, prepared and untouched, at a second capture radius.</w:t>
      </w:r>
    </w:p>
    <w:p>
      <w:pPr>
        <w:pStyle w:val="bulletlist"/>
      </w:pPr>
      <w:r>
        <w:rPr>
          <w:b/>
        </w:rPr>
        <w:t>Re-shoot for elevation.</w:t>
      </w:r>
      <w:r>
        <w:t xml:space="preserve"> 40–60 frames between +30° and +60°, plus doorway transition frames so the interior binds. This is the only route to an observed roof and to a single connected model, and it is now the third round in which it has been the outstanding item.</w:t>
      </w:r>
    </w:p>
    <w:p>
      <w:pPr>
        <w:pStyle w:val="BodyText"/>
      </w:pPr>
      <w:r>
        <w:rPr>
          <w:b/>
        </w:rPr>
        <w:t>Do not</w:t>
      </w:r>
      <w:r>
        <w:t xml:space="preserve"> spend GPU on more iterations. The extrapolation above bounds the entire remaining benefit at 7–12% of training loss, against a 2.4 dB gain available from a software fix.</w:t>
      </w:r>
    </w:p>
    <w:p>
      <w:pPr>
        <w:pStyle w:val="Heading1"/>
      </w:pPr>
      <w:r>
        <w:t>Reproducing the Numbers</w:t>
      </w:r>
    </w:p>
    <w:p>
      <w:pPr>
        <w:pStyle w:val="tablehead"/>
        <w:jc w:val="center"/>
      </w:pPr>
      <w:r>
        <w:t>TABLE 15.  Where every number in this report comes from.</w:t>
      </w:r>
    </w:p>
    <w:tbl>
      <w:tblPr>
        <w:tblW w:type="auto" w:w="0"/>
        <w:jc w:val="center"/>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060"/>
        <w:gridCol w:w="5060"/>
      </w:tblGrid>
      <w:tr>
        <w:tc>
          <w:tcPr>
            <w:tcW w:type="dxa" w:w="3312"/>
            <w:shd w:val="clear" w:fill="EFEFEC"/>
          </w:tcPr>
          <w:p>
            <w:pPr>
              <w:pStyle w:val="BodyText"/>
              <w:spacing w:after="20" w:before="20"/>
            </w:pPr>
            <w:r>
              <w:rPr>
                <w:b/>
                <w:sz w:val="17"/>
              </w:rPr>
            </w:r>
            <w:r>
              <w:rPr>
                <w:b/>
                <w:sz w:val="17"/>
              </w:rPr>
              <w:t>Claim</w:t>
            </w:r>
          </w:p>
        </w:tc>
        <w:tc>
          <w:tcPr>
            <w:tcW w:type="dxa" w:w="6048"/>
            <w:shd w:val="clear" w:fill="EFEFEC"/>
          </w:tcPr>
          <w:p>
            <w:pPr>
              <w:pStyle w:val="BodyText"/>
              <w:spacing w:after="20" w:before="20"/>
            </w:pPr>
            <w:r>
              <w:rPr>
                <w:b/>
                <w:sz w:val="17"/>
              </w:rPr>
            </w:r>
            <w:r>
              <w:rPr>
                <w:b/>
                <w:sz w:val="17"/>
              </w:rPr>
              <w:t>Source</w:t>
            </w:r>
          </w:p>
        </w:tc>
      </w:tr>
      <w:tr>
        <w:tc>
          <w:tcPr>
            <w:tcW w:type="dxa" w:w="3312"/>
          </w:tcPr>
          <w:p>
            <w:pPr>
              <w:pStyle w:val="BodyText"/>
              <w:spacing w:after="20" w:before="20"/>
            </w:pPr>
            <w:r>
              <w:rPr>
                <w:sz w:val="17"/>
              </w:rPr>
            </w:r>
            <w:r>
              <w:rPr>
                <w:sz w:val="17"/>
              </w:rPr>
              <w:t>Capture EXIF, focal-length spread, ISO, shutter</w:t>
            </w:r>
          </w:p>
        </w:tc>
        <w:tc>
          <w:tcPr>
            <w:tcW w:type="dxa" w:w="6048"/>
          </w:tcPr>
          <w:p>
            <w:pPr>
              <w:pStyle w:val="BodyText"/>
              <w:spacing w:after="20" w:before="20"/>
            </w:pPr>
            <w:r>
              <w:rPr>
                <w:sz w:val="17"/>
              </w:rPr>
            </w:r>
            <w:r>
              <w:rPr>
                <w:sz w:val="17"/>
              </w:rPr>
              <w:t>PIL.Image.getexif() over the 5 Sep HEIC originals; pillow-heif for decoding</w:t>
            </w:r>
          </w:p>
        </w:tc>
      </w:tr>
      <w:tr>
        <w:tc>
          <w:tcPr>
            <w:tcW w:type="dxa" w:w="3312"/>
          </w:tcPr>
          <w:p>
            <w:pPr>
              <w:pStyle w:val="BodyText"/>
              <w:spacing w:after="20" w:before="20"/>
            </w:pPr>
            <w:r>
              <w:rPr>
                <w:sz w:val="17"/>
              </w:rPr>
            </w:r>
            <w:r>
              <w:rPr>
                <w:sz w:val="17"/>
              </w:rPr>
              <w:t>Segment counts</w:t>
            </w:r>
          </w:p>
        </w:tc>
        <w:tc>
          <w:tcPr>
            <w:tcW w:type="dxa" w:w="6048"/>
          </w:tcPr>
          <w:p>
            <w:pPr>
              <w:pStyle w:val="BodyText"/>
              <w:spacing w:after="20" w:before="20"/>
            </w:pPr>
            <w:r>
              <w:rPr>
                <w:sz w:val="17"/>
              </w:rPr>
            </w:r>
            <w:r>
              <w:rPr>
                <w:sz w:val="17"/>
              </w:rPr>
              <w:t>CV_Photos_prepared/{sala,lamp}_manifest.csv</w:t>
            </w:r>
          </w:p>
        </w:tc>
      </w:tr>
      <w:tr>
        <w:tc>
          <w:tcPr>
            <w:tcW w:type="dxa" w:w="3312"/>
          </w:tcPr>
          <w:p>
            <w:pPr>
              <w:pStyle w:val="BodyText"/>
              <w:spacing w:after="20" w:before="20"/>
            </w:pPr>
            <w:r>
              <w:rPr>
                <w:sz w:val="17"/>
              </w:rPr>
            </w:r>
            <w:r>
              <w:rPr>
                <w:sz w:val="17"/>
              </w:rPr>
              <w:t>Registration counts, fold ratios</w:t>
            </w:r>
          </w:p>
        </w:tc>
        <w:tc>
          <w:tcPr>
            <w:tcW w:type="dxa" w:w="6048"/>
          </w:tcPr>
          <w:p>
            <w:pPr>
              <w:pStyle w:val="BodyText"/>
              <w:spacing w:after="20" w:before="20"/>
            </w:pPr>
            <w:r>
              <w:rPr>
                <w:sz w:val="17"/>
              </w:rPr>
            </w:r>
            <w:r>
              <w:rPr>
                <w:sz w:val="17"/>
              </w:rPr>
              <w:t>Kaggle run logs; notebook cells 8 and 9</w:t>
            </w:r>
          </w:p>
        </w:tc>
      </w:tr>
      <w:tr>
        <w:tc>
          <w:tcPr>
            <w:tcW w:type="dxa" w:w="3312"/>
          </w:tcPr>
          <w:p>
            <w:pPr>
              <w:pStyle w:val="BodyText"/>
              <w:spacing w:after="20" w:before="20"/>
            </w:pPr>
            <w:r>
              <w:rPr>
                <w:sz w:val="17"/>
              </w:rPr>
            </w:r>
            <w:r>
              <w:rPr>
                <w:sz w:val="17"/>
              </w:rPr>
              <w:t>Two sub-models, and which images are in each</w:t>
            </w:r>
          </w:p>
        </w:tc>
        <w:tc>
          <w:tcPr>
            <w:tcW w:type="dxa" w:w="6048"/>
          </w:tcPr>
          <w:p>
            <w:pPr>
              <w:pStyle w:val="BodyText"/>
              <w:spacing w:after="20" w:before="20"/>
            </w:pPr>
            <w:r>
              <w:rPr>
                <w:sz w:val="17"/>
              </w:rPr>
            </w:r>
            <w:r>
              <w:rPr>
                <w:sz w:val="17"/>
              </w:rPr>
              <w:t>COLMAP sparse/{0,1}/images.bin, decoded from the binary record format</w:t>
            </w:r>
          </w:p>
        </w:tc>
      </w:tr>
      <w:tr>
        <w:tc>
          <w:tcPr>
            <w:tcW w:type="dxa" w:w="3312"/>
          </w:tcPr>
          <w:p>
            <w:pPr>
              <w:pStyle w:val="BodyText"/>
              <w:spacing w:after="20" w:before="20"/>
            </w:pPr>
            <w:r>
              <w:rPr>
                <w:sz w:val="17"/>
              </w:rPr>
            </w:r>
            <w:r>
              <w:rPr>
                <w:sz w:val="17"/>
              </w:rPr>
              <w:t>Held-out scores</w:t>
            </w:r>
          </w:p>
        </w:tc>
        <w:tc>
          <w:tcPr>
            <w:tcW w:type="dxa" w:w="6048"/>
          </w:tcPr>
          <w:p>
            <w:pPr>
              <w:pStyle w:val="BodyText"/>
              <w:spacing w:after="20" w:before="20"/>
            </w:pPr>
            <w:r>
              <w:rPr>
                <w:sz w:val="17"/>
              </w:rPr>
            </w:r>
            <w:r>
              <w:rPr>
                <w:sz w:val="17"/>
              </w:rPr>
              <w:t>results.json, 3DGS metrics.py, every 8th frame held out via --eval</w:t>
            </w:r>
          </w:p>
        </w:tc>
      </w:tr>
      <w:tr>
        <w:tc>
          <w:tcPr>
            <w:tcW w:type="dxa" w:w="3312"/>
          </w:tcPr>
          <w:p>
            <w:pPr>
              <w:pStyle w:val="BodyText"/>
              <w:spacing w:after="20" w:before="20"/>
            </w:pPr>
            <w:r>
              <w:rPr>
                <w:sz w:val="17"/>
              </w:rPr>
            </w:r>
            <w:r>
              <w:rPr>
                <w:sz w:val="17"/>
              </w:rPr>
              <w:t>Per-view scores</w:t>
            </w:r>
          </w:p>
        </w:tc>
        <w:tc>
          <w:tcPr>
            <w:tcW w:type="dxa" w:w="6048"/>
          </w:tcPr>
          <w:p>
            <w:pPr>
              <w:pStyle w:val="BodyText"/>
              <w:spacing w:after="20" w:before="20"/>
            </w:pPr>
            <w:r>
              <w:rPr>
                <w:sz w:val="17"/>
              </w:rPr>
            </w:r>
            <w:r>
              <w:rPr>
                <w:sz w:val="17"/>
              </w:rPr>
              <w:t>model/per_view.json</w:t>
            </w:r>
          </w:p>
        </w:tc>
      </w:tr>
      <w:tr>
        <w:tc>
          <w:tcPr>
            <w:tcW w:type="dxa" w:w="3312"/>
          </w:tcPr>
          <w:p>
            <w:pPr>
              <w:pStyle w:val="BodyText"/>
              <w:spacing w:after="20" w:before="20"/>
            </w:pPr>
            <w:r>
              <w:rPr>
                <w:sz w:val="17"/>
              </w:rPr>
            </w:r>
            <w:r>
              <w:rPr>
                <w:sz w:val="17"/>
              </w:rPr>
              <w:t>Region-decomposed PSNR</w:t>
            </w:r>
          </w:p>
        </w:tc>
        <w:tc>
          <w:tcPr>
            <w:tcW w:type="dxa" w:w="6048"/>
          </w:tcPr>
          <w:p>
            <w:pPr>
              <w:pStyle w:val="BodyText"/>
              <w:spacing w:after="20" w:before="20"/>
            </w:pPr>
            <w:r>
              <w:rPr>
                <w:sz w:val="17"/>
              </w:rPr>
            </w:r>
            <w:r>
              <w:rPr>
                <w:sz w:val="17"/>
              </w:rPr>
              <w:t>Recomputed from model/test/ours_30000/{gt,renders}/*.png; background = pixels below value 18 in either image</w:t>
            </w:r>
          </w:p>
        </w:tc>
      </w:tr>
      <w:tr>
        <w:tc>
          <w:tcPr>
            <w:tcW w:type="dxa" w:w="3312"/>
          </w:tcPr>
          <w:p>
            <w:pPr>
              <w:pStyle w:val="BodyText"/>
              <w:spacing w:after="20" w:before="20"/>
            </w:pPr>
            <w:r>
              <w:rPr>
                <w:sz w:val="17"/>
              </w:rPr>
            </w:r>
            <w:r>
              <w:rPr>
                <w:sz w:val="17"/>
              </w:rPr>
              <w:t>Loss curves and extrapolation</w:t>
            </w:r>
          </w:p>
        </w:tc>
        <w:tc>
          <w:tcPr>
            <w:tcW w:type="dxa" w:w="6048"/>
          </w:tcPr>
          <w:p>
            <w:pPr>
              <w:pStyle w:val="BodyText"/>
              <w:spacing w:after="20" w:before="20"/>
            </w:pPr>
            <w:r>
              <w:rPr>
                <w:sz w:val="17"/>
              </w:rPr>
            </w:r>
            <w:r>
              <w:rPr>
                <w:sz w:val="17"/>
              </w:rPr>
              <w:t>model/events.out.tfevents.*, parsed from the TFRecord/protobuf stream</w:t>
            </w:r>
          </w:p>
        </w:tc>
      </w:tr>
      <w:tr>
        <w:tc>
          <w:tcPr>
            <w:tcW w:type="dxa" w:w="3312"/>
          </w:tcPr>
          <w:p>
            <w:pPr>
              <w:pStyle w:val="BodyText"/>
              <w:spacing w:after="20" w:before="20"/>
            </w:pPr>
            <w:r>
              <w:rPr>
                <w:sz w:val="17"/>
              </w:rPr>
            </w:r>
            <w:r>
              <w:rPr>
                <w:sz w:val="17"/>
              </w:rPr>
              <w:t>Camera elevation coverage</w:t>
            </w:r>
          </w:p>
        </w:tc>
        <w:tc>
          <w:tcPr>
            <w:tcW w:type="dxa" w:w="6048"/>
          </w:tcPr>
          <w:p>
            <w:pPr>
              <w:pStyle w:val="BodyText"/>
              <w:spacing w:after="20" w:before="20"/>
            </w:pPr>
            <w:r>
              <w:rPr>
                <w:sz w:val="17"/>
              </w:rPr>
            </w:r>
            <w:r>
              <w:rPr>
                <w:sz w:val="17"/>
              </w:rPr>
              <w:t>cameras.json positions against the median of the cropped model’s Gaussian centres; world up from the mean of the cameras’ own up axes</w:t>
            </w:r>
          </w:p>
        </w:tc>
      </w:tr>
      <w:tr>
        <w:tc>
          <w:tcPr>
            <w:tcW w:type="dxa" w:w="3312"/>
          </w:tcPr>
          <w:p>
            <w:pPr>
              <w:pStyle w:val="BodyText"/>
              <w:spacing w:after="20" w:before="20"/>
            </w:pPr>
            <w:r>
              <w:rPr>
                <w:sz w:val="17"/>
              </w:rPr>
            </w:r>
            <w:r>
              <w:rPr>
                <w:sz w:val="17"/>
              </w:rPr>
              <w:t>Gaussian counts</w:t>
            </w:r>
          </w:p>
        </w:tc>
        <w:tc>
          <w:tcPr>
            <w:tcW w:type="dxa" w:w="6048"/>
          </w:tcPr>
          <w:p>
            <w:pPr>
              <w:pStyle w:val="BodyText"/>
              <w:spacing w:after="20" w:before="20"/>
            </w:pPr>
            <w:r>
              <w:rPr>
                <w:sz w:val="17"/>
              </w:rPr>
            </w:r>
            <w:r>
              <w:rPr>
                <w:sz w:val="17"/>
              </w:rPr>
              <w:t>.splat file size ÷ 32 bytes per row; PLY element vertex header</w:t>
            </w:r>
          </w:p>
        </w:tc>
      </w:tr>
      <w:tr>
        <w:tc>
          <w:tcPr>
            <w:tcW w:type="dxa" w:w="3312"/>
          </w:tcPr>
          <w:p>
            <w:pPr>
              <w:pStyle w:val="BodyText"/>
              <w:spacing w:after="20" w:before="20"/>
            </w:pPr>
            <w:r>
              <w:rPr>
                <w:sz w:val="17"/>
              </w:rPr>
            </w:r>
            <w:r>
              <w:rPr>
                <w:sz w:val="17"/>
              </w:rPr>
              <w:t>Renders in Figs. 1, 4 and 5</w:t>
            </w:r>
          </w:p>
        </w:tc>
        <w:tc>
          <w:tcPr>
            <w:tcW w:type="dxa" w:w="6048"/>
          </w:tcPr>
          <w:p>
            <w:pPr>
              <w:pStyle w:val="BodyText"/>
              <w:spacing w:after="20" w:before="20"/>
            </w:pPr>
            <w:r>
              <w:rPr>
                <w:sz w:val="17"/>
              </w:rPr>
            </w:r>
            <w:r>
              <w:rPr>
                <w:sz w:val="17"/>
              </w:rPr>
              <w:t>CPU EWA splat rasteriser written for this report: 3D covariance from quaternion and scale, projected through the perspective Jacobian, alpha-composited back to front</w:t>
            </w:r>
          </w:p>
        </w:tc>
      </w:tr>
    </w:tbl>
    <w:p>
      <w:pPr>
        <w:pStyle w:val="BodyText"/>
        <w:spacing w:after="80"/>
      </w:pPr>
    </w:p>
    <w:p>
      <w:pPr>
        <w:pStyle w:val="BodyText"/>
      </w:pPr>
      <w:r>
        <w:t>Raw outputs are in Term-Project/kaggle_out/{sala,lamp}/. The notebooks are resumable: every expensive stage banks to /kaggle/working and is restored before any work is redone, so re-running the same file after a failure skips whatever already completed.</w: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2809AB0" w14:textId="77777777" w:rsidR="000E2EAA" w:rsidRDefault="000E2EAA" w:rsidP="001A3B3D">
      <w:r>
        <w:separator/>
      </w:r>
    </w:p>
  </w:endnote>
  <w:endnote w:type="continuationSeparator" w:id="0">
    <w:p w14:paraId="6B62ADC1" w14:textId="77777777" w:rsidR="000E2EAA" w:rsidRDefault="000E2EA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7B75F6F" w:rsidR="001A3B3D" w:rsidRPr="00D70FDF" w:rsidRDefault="001A3B3D" w:rsidP="00D70FDF">
    <w:pPr>
      <w:pStyle w:val="Footer"/>
      <w:jc w:val="both"/>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AAD5B44" w14:textId="77777777" w:rsidR="000E2EAA" w:rsidRDefault="000E2EAA" w:rsidP="001A3B3D">
      <w:r>
        <w:separator/>
      </w:r>
    </w:p>
  </w:footnote>
  <w:footnote w:type="continuationSeparator" w:id="0">
    <w:p w14:paraId="053B8DA6" w14:textId="77777777" w:rsidR="000E2EAA" w:rsidRDefault="000E2E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
        </w:tabs>
        <w:ind w:start="0" w:firstLine="0"/>
      </w:pPr>
      <w:rPr>
        <w:rFonts w:ascii="Symbol" w:hAnsi="Symbol" w:hint="default"/>
      </w:rPr>
    </w:lvl>
    <w:lvl w:ilvl="1">
      <w:start w:val="1"/>
      <w:numFmt w:val="bullet"/>
      <w:lvlText w:val=""/>
      <w:lvlJc w:val="start"/>
      <w:pPr>
        <w:tabs>
          <w:tab w:val="num" w:pos="720"/>
        </w:tabs>
        <w:ind w:start="1080" w:hanging="360"/>
      </w:pPr>
      <w:rPr>
        <w:rFonts w:ascii="Symbol" w:hAnsi="Symbol" w:hint="default"/>
      </w:rPr>
    </w:lvl>
    <w:lvl w:ilvl="2">
      <w:start w:val="1"/>
      <w:numFmt w:val="bullet"/>
      <w:lvlText w:val="o"/>
      <w:lvlJc w:val="start"/>
      <w:pPr>
        <w:tabs>
          <w:tab w:val="num" w:pos="1440"/>
        </w:tabs>
        <w:ind w:start="1800" w:hanging="360"/>
      </w:pPr>
      <w:rPr>
        <w:rFonts w:ascii="Courier New" w:hAnsi="Courier New" w:cs="Courier New" w:hint="default"/>
      </w:rPr>
    </w:lvl>
    <w:lvl w:ilvl="3">
      <w:start w:val="1"/>
      <w:numFmt w:val="bullet"/>
      <w:lvlText w:val=""/>
      <w:lvlJc w:val="start"/>
      <w:pPr>
        <w:tabs>
          <w:tab w:val="num" w:pos="2160"/>
        </w:tabs>
        <w:ind w:start="2520" w:hanging="360"/>
      </w:pPr>
      <w:rPr>
        <w:rFonts w:ascii="Wingdings" w:hAnsi="Wingdings" w:hint="default"/>
      </w:rPr>
    </w:lvl>
    <w:lvl w:ilvl="4">
      <w:start w:val="1"/>
      <w:numFmt w:val="bullet"/>
      <w:lvlText w:val=""/>
      <w:lvlJc w:val="start"/>
      <w:pPr>
        <w:tabs>
          <w:tab w:val="num" w:pos="2880"/>
        </w:tabs>
        <w:ind w:start="3240" w:hanging="360"/>
      </w:pPr>
      <w:rPr>
        <w:rFonts w:ascii="Wingdings" w:hAnsi="Wingdings" w:hint="default"/>
      </w:rPr>
    </w:lvl>
    <w:lvl w:ilvl="5">
      <w:start w:val="1"/>
      <w:numFmt w:val="bullet"/>
      <w:lvlText w:val=""/>
      <w:lvlJc w:val="start"/>
      <w:pPr>
        <w:tabs>
          <w:tab w:val="num" w:pos="3600"/>
        </w:tabs>
        <w:ind w:start="3960" w:hanging="360"/>
      </w:pPr>
      <w:rPr>
        <w:rFonts w:ascii="Symbol" w:hAnsi="Symbol" w:hint="default"/>
      </w:rPr>
    </w:lvl>
    <w:lvl w:ilvl="6">
      <w:start w:val="1"/>
      <w:numFmt w:val="bullet"/>
      <w:lvlText w:val="o"/>
      <w:lvlJc w:val="start"/>
      <w:pPr>
        <w:tabs>
          <w:tab w:val="num" w:pos="4320"/>
        </w:tabs>
        <w:ind w:start="4680" w:hanging="360"/>
      </w:pPr>
      <w:rPr>
        <w:rFonts w:ascii="Courier New" w:hAnsi="Courier New" w:cs="Courier New" w:hint="default"/>
      </w:rPr>
    </w:lvl>
    <w:lvl w:ilvl="7">
      <w:start w:val="1"/>
      <w:numFmt w:val="bullet"/>
      <w:lvlText w:val=""/>
      <w:lvlJc w:val="start"/>
      <w:pPr>
        <w:tabs>
          <w:tab w:val="num" w:pos="5040"/>
        </w:tabs>
        <w:ind w:start="5400" w:hanging="360"/>
      </w:pPr>
      <w:rPr>
        <w:rFonts w:ascii="Wingdings" w:hAnsi="Wingdings" w:hint="default"/>
      </w:rPr>
    </w:lvl>
    <w:lvl w:ilvl="8">
      <w:start w:val="1"/>
      <w:numFmt w:val="bullet"/>
      <w:lvlText w:val=""/>
      <w:lvlJc w:val="star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star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star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star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star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star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936" w:hanging="360"/>
      </w:pPr>
    </w:lvl>
    <w:lvl w:ilvl="1" w:tplc="04140019" w:tentative="1">
      <w:start w:val="1"/>
      <w:numFmt w:val="lowerLetter"/>
      <w:lvlText w:val="%2."/>
      <w:lvlJc w:val="start"/>
      <w:pPr>
        <w:ind w:start="1656" w:hanging="360"/>
      </w:pPr>
    </w:lvl>
    <w:lvl w:ilvl="2" w:tplc="0414001B" w:tentative="1">
      <w:start w:val="1"/>
      <w:numFmt w:val="lowerRoman"/>
      <w:lvlText w:val="%3."/>
      <w:lvlJc w:val="end"/>
      <w:pPr>
        <w:ind w:start="2376" w:hanging="180"/>
      </w:pPr>
    </w:lvl>
    <w:lvl w:ilvl="3" w:tplc="0414000F" w:tentative="1">
      <w:start w:val="1"/>
      <w:numFmt w:val="decimal"/>
      <w:lvlText w:val="%4."/>
      <w:lvlJc w:val="start"/>
      <w:pPr>
        <w:ind w:start="3096" w:hanging="360"/>
      </w:pPr>
    </w:lvl>
    <w:lvl w:ilvl="4" w:tplc="04140019" w:tentative="1">
      <w:start w:val="1"/>
      <w:numFmt w:val="lowerLetter"/>
      <w:lvlText w:val="%5."/>
      <w:lvlJc w:val="start"/>
      <w:pPr>
        <w:ind w:start="3816" w:hanging="360"/>
      </w:pPr>
    </w:lvl>
    <w:lvl w:ilvl="5" w:tplc="0414001B" w:tentative="1">
      <w:start w:val="1"/>
      <w:numFmt w:val="lowerRoman"/>
      <w:lvlText w:val="%6."/>
      <w:lvlJc w:val="end"/>
      <w:pPr>
        <w:ind w:start="4536" w:hanging="180"/>
      </w:pPr>
    </w:lvl>
    <w:lvl w:ilvl="6" w:tplc="0414000F" w:tentative="1">
      <w:start w:val="1"/>
      <w:numFmt w:val="decimal"/>
      <w:lvlText w:val="%7."/>
      <w:lvlJc w:val="start"/>
      <w:pPr>
        <w:ind w:start="5256" w:hanging="360"/>
      </w:pPr>
    </w:lvl>
    <w:lvl w:ilvl="7" w:tplc="04140019" w:tentative="1">
      <w:start w:val="1"/>
      <w:numFmt w:val="lowerLetter"/>
      <w:lvlText w:val="%8."/>
      <w:lvlJc w:val="start"/>
      <w:pPr>
        <w:ind w:start="5976" w:hanging="360"/>
      </w:pPr>
    </w:lvl>
    <w:lvl w:ilvl="8" w:tplc="0414001B" w:tentative="1">
      <w:start w:val="1"/>
      <w:numFmt w:val="lowerRoman"/>
      <w:lvlText w:val="%9."/>
      <w:lvlJc w:val="end"/>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720"/>
        </w:tabs>
        <w:ind w:start="720" w:hanging="360"/>
      </w:pPr>
      <w:rPr>
        <w:rFonts w:cs="Times New Roman" w:hint="default"/>
        <w:i w:val="0"/>
        <w:iCs w:val="0"/>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2EAA"/>
    <w:rsid w:val="001A2EFD"/>
    <w:rsid w:val="001A3B3D"/>
    <w:rsid w:val="001B67DC"/>
    <w:rsid w:val="001E2E8E"/>
    <w:rsid w:val="002254A9"/>
    <w:rsid w:val="00233D97"/>
    <w:rsid w:val="002347A2"/>
    <w:rsid w:val="002850E3"/>
    <w:rsid w:val="00354FCF"/>
    <w:rsid w:val="003A19E2"/>
    <w:rsid w:val="003B2B40"/>
    <w:rsid w:val="003B4E04"/>
    <w:rsid w:val="003D4BB3"/>
    <w:rsid w:val="003F5A08"/>
    <w:rsid w:val="00420716"/>
    <w:rsid w:val="00422ABA"/>
    <w:rsid w:val="004325FB"/>
    <w:rsid w:val="004432BA"/>
    <w:rsid w:val="0044407E"/>
    <w:rsid w:val="00447BB9"/>
    <w:rsid w:val="0046031D"/>
    <w:rsid w:val="004739C2"/>
    <w:rsid w:val="00473AC9"/>
    <w:rsid w:val="004C4CC9"/>
    <w:rsid w:val="004D72B5"/>
    <w:rsid w:val="00551B7F"/>
    <w:rsid w:val="0056610F"/>
    <w:rsid w:val="00575BCA"/>
    <w:rsid w:val="005B0344"/>
    <w:rsid w:val="005B520E"/>
    <w:rsid w:val="005E2800"/>
    <w:rsid w:val="00605825"/>
    <w:rsid w:val="006134E1"/>
    <w:rsid w:val="00645D22"/>
    <w:rsid w:val="006460D9"/>
    <w:rsid w:val="00651A08"/>
    <w:rsid w:val="00654204"/>
    <w:rsid w:val="00670434"/>
    <w:rsid w:val="006A5D82"/>
    <w:rsid w:val="006B6B66"/>
    <w:rsid w:val="006F6D3D"/>
    <w:rsid w:val="007063E9"/>
    <w:rsid w:val="00715BEA"/>
    <w:rsid w:val="00740EEA"/>
    <w:rsid w:val="00794804"/>
    <w:rsid w:val="007B33F1"/>
    <w:rsid w:val="007B6DDA"/>
    <w:rsid w:val="007C0308"/>
    <w:rsid w:val="007C2FF2"/>
    <w:rsid w:val="007D6232"/>
    <w:rsid w:val="007E48EF"/>
    <w:rsid w:val="007F1F99"/>
    <w:rsid w:val="007F768F"/>
    <w:rsid w:val="00805861"/>
    <w:rsid w:val="0080791D"/>
    <w:rsid w:val="00810081"/>
    <w:rsid w:val="008147B5"/>
    <w:rsid w:val="00836367"/>
    <w:rsid w:val="008567AF"/>
    <w:rsid w:val="00873603"/>
    <w:rsid w:val="008A2C7D"/>
    <w:rsid w:val="008B6524"/>
    <w:rsid w:val="008C4B23"/>
    <w:rsid w:val="008D2500"/>
    <w:rsid w:val="008F6E2C"/>
    <w:rsid w:val="009171D3"/>
    <w:rsid w:val="009303D9"/>
    <w:rsid w:val="009335C9"/>
    <w:rsid w:val="00933C64"/>
    <w:rsid w:val="00972203"/>
    <w:rsid w:val="009F1D79"/>
    <w:rsid w:val="00A02377"/>
    <w:rsid w:val="00A059B3"/>
    <w:rsid w:val="00A56EBA"/>
    <w:rsid w:val="00AE3409"/>
    <w:rsid w:val="00B11A60"/>
    <w:rsid w:val="00B22613"/>
    <w:rsid w:val="00B44A76"/>
    <w:rsid w:val="00B768D1"/>
    <w:rsid w:val="00BA1025"/>
    <w:rsid w:val="00BC3420"/>
    <w:rsid w:val="00BD670B"/>
    <w:rsid w:val="00BE7D3C"/>
    <w:rsid w:val="00BF5FF6"/>
    <w:rsid w:val="00C0207F"/>
    <w:rsid w:val="00C16117"/>
    <w:rsid w:val="00C20A6C"/>
    <w:rsid w:val="00C3075A"/>
    <w:rsid w:val="00C66D12"/>
    <w:rsid w:val="00C703B1"/>
    <w:rsid w:val="00C919A4"/>
    <w:rsid w:val="00CA4392"/>
    <w:rsid w:val="00CC393F"/>
    <w:rsid w:val="00D2176E"/>
    <w:rsid w:val="00D632BE"/>
    <w:rsid w:val="00D70FDF"/>
    <w:rsid w:val="00D72D06"/>
    <w:rsid w:val="00D7522C"/>
    <w:rsid w:val="00D7536F"/>
    <w:rsid w:val="00D76668"/>
    <w:rsid w:val="00DF3F58"/>
    <w:rsid w:val="00E07383"/>
    <w:rsid w:val="00E112DF"/>
    <w:rsid w:val="00E165BC"/>
    <w:rsid w:val="00E61E12"/>
    <w:rsid w:val="00E7596C"/>
    <w:rsid w:val="00E878F2"/>
    <w:rsid w:val="00ED0149"/>
    <w:rsid w:val="00EF7DE3"/>
    <w:rsid w:val="00F03103"/>
    <w:rsid w:val="00F271DE"/>
    <w:rsid w:val="00F627DA"/>
    <w:rsid w:val="00F7288F"/>
    <w:rsid w:val="00F76FE8"/>
    <w:rsid w:val="00F847A6"/>
    <w:rsid w:val="00F9441B"/>
    <w:rsid w:val="00FA4C32"/>
    <w:rsid w:val="00FB0D80"/>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end"/>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76FE8"/>
    <w:rPr>
      <w:color w:val="0563C1" w:themeColor="hyperlink"/>
      <w:u w:val="single"/>
    </w:rPr>
  </w:style>
  <w:style w:type="character" w:styleId="UnresolvedMention">
    <w:name w:val="Unresolved Mention"/>
    <w:basedOn w:val="DefaultParagraphFont"/>
    <w:uiPriority w:val="99"/>
    <w:semiHidden/>
    <w:unhideWhenUsed/>
    <w:rsid w:val="00F76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A674CEC26FCF4591194308972A7836" ma:contentTypeVersion="10" ma:contentTypeDescription="Create a new document." ma:contentTypeScope="" ma:versionID="1ee74dfc19b53f7f63086a6827ad7ea7">
  <xsd:schema xmlns:xsd="http://www.w3.org/2001/XMLSchema" xmlns:xs="http://www.w3.org/2001/XMLSchema" xmlns:p="http://schemas.microsoft.com/office/2006/metadata/properties" xmlns:ns2="c27f7001-81a4-451f-bb72-9c8b6a30fd01" xmlns:ns3="5dbbcfdd-641d-42ed-b89a-2cb2451897ef" targetNamespace="http://schemas.microsoft.com/office/2006/metadata/properties" ma:root="true" ma:fieldsID="1a063cc532b3c4ab51b029627793b168" ns2:_="" ns3:_="">
    <xsd:import namespace="c27f7001-81a4-451f-bb72-9c8b6a30fd01"/>
    <xsd:import namespace="5dbbcfdd-641d-42ed-b89a-2cb2451897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f7001-81a4-451f-bb72-9c8b6a30f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a2e50e-30fd-4e6a-aad8-04f72bd8e08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bbcfdd-641d-42ed-b89a-2cb2451897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0368ed-1b81-4b2f-a05e-853aab3396fe}" ma:internalName="TaxCatchAll" ma:showField="CatchAllData" ma:web="5dbbcfdd-641d-42ed-b89a-2cb2451897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dbbcfdd-641d-42ed-b89a-2cb2451897ef" xsi:nil="true"/>
    <lcf76f155ced4ddcb4097134ff3c332f xmlns="c27f7001-81a4-451f-bb72-9c8b6a30fd01">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D28CC447-685F-4580-93A3-4906AECB669C}"/>
</file>

<file path=customXml/itemProps3.xml><?xml version="1.0" encoding="utf-8"?>
<ds:datastoreItem xmlns:ds="http://schemas.openxmlformats.org/officeDocument/2006/customXml" ds:itemID="{F2993B60-A8F8-4E3E-AC0F-645CD3999391}"/>
</file>

<file path=customXml/itemProps4.xml><?xml version="1.0" encoding="utf-8"?>
<ds:datastoreItem xmlns:ds="http://schemas.openxmlformats.org/officeDocument/2006/customXml" ds:itemID="{BD474D59-C140-4160-A654-4DEF6F6446B8}"/>
</file>

<file path=docProps/app.xml><?xml version="1.0" encoding="utf-8"?>
<Properties xmlns="http://schemas.openxmlformats.org/officeDocument/2006/extended-properties" xmlns:vt="http://schemas.openxmlformats.org/officeDocument/2006/docPropsVTypes">
  <Template>Normal.dotm</Template>
  <TotalTime>8</TotalTime>
  <Pages>1</Pages>
  <Words>136</Words>
  <Characters>779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DOBRI ATANASSOV BATOVSKI</cp:lastModifiedBy>
  <cp:revision>4</cp:revision>
  <dcterms:created xsi:type="dcterms:W3CDTF">2026-08-11T07:13:00Z</dcterms:created>
  <dcterms:modified xsi:type="dcterms:W3CDTF">2026-08-11T07:14:00Z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0x010100DCA674CEC26FCF4591194308972A7836</vt:lpwstr>
  </property>
</Properties>
</file>