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399F5367" w:rsidR="00D7522C" w:rsidRPr="00422ABA" w:rsidRDefault="00F76FE8" w:rsidP="00422ABA">
      <w:pPr>
        <w:pStyle w:val="papertitle"/>
        <w:spacing w:before="5pt" w:beforeAutospacing="1" w:after="5pt" w:afterAutospacing="1"/>
        <w:rPr>
          <w:kern w:val="48"/>
        </w:rPr>
      </w:pPr>
      <w:r>
        <w:rPr>
          <w:kern w:val="48"/>
        </w:rPr>
        <w:t>Sala Chaturamuk Phaichit Viewer: An Image-Based Rendering Approach to a Thai Pavilion</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31BA0FEA" w14:textId="77777777" w:rsidR="00F76FE8" w:rsidRDefault="00F76FE8" w:rsidP="00F76FE8">
      <w:pPr>
        <w:pStyle w:val="Author"/>
        <w:spacing w:before="0pt" w:after="0pt"/>
        <w:rPr>
          <w:color w:val="000000" w:themeColor="text1"/>
          <w:sz w:val="18"/>
          <w:szCs w:val="18"/>
        </w:rPr>
      </w:pPr>
      <w:r>
        <w:rPr>
          <w:color w:val="000000" w:themeColor="text1"/>
          <w:sz w:val="18"/>
          <w:szCs w:val="18"/>
        </w:rPr>
        <w:t xml:space="preserve">Win Yu Maung</w:t>
        <w:br/>
      </w:r>
      <w:r>
        <w:rPr>
          <w:i/>
          <w:iCs/>
          <w:color w:val="000000" w:themeColor="text1"/>
          <w:sz w:val="18"/>
          <w:szCs w:val="18"/>
        </w:rPr>
        <w:t>Vincent Mary School of Engineering, Science and Technology</w:t>
        <w:br/>
        <w:t>Suvarnabhumi Campus, Assumption University of Thailand</w:t>
        <w:br/>
      </w:r>
      <w:r>
        <w:rPr>
          <w:color w:val="000000" w:themeColor="text1"/>
          <w:sz w:val="18"/>
          <w:szCs w:val="18"/>
        </w:rPr>
        <w:t>Samut Prakan, Thailand</w:t>
        <w:br/>
        <w:t>u6612054@au.edu</w:t>
      </w:r>
    </w:p>
    <w:p w14:paraId="21E5E817" w14:textId="482AEC5A" w:rsidR="00F76FE8" w:rsidRDefault="00F76FE8" w:rsidP="00F76FE8">
      <w:pPr>
        <w:pStyle w:val="Author"/>
        <w:spacing w:before="0pt" w:after="0pt"/>
        <w:rPr>
          <w:color w:val="000000" w:themeColor="text1"/>
          <w:sz w:val="18"/>
          <w:szCs w:val="18"/>
        </w:rPr>
      </w:pPr>
      <w:r>
        <w:rPr>
          <w:color w:val="000000" w:themeColor="text1"/>
          <w:sz w:val="18"/>
          <w:szCs w:val="18"/>
        </w:rPr>
        <w:t xml:space="preserve">Myat Bhone Thet</w:t>
        <w:br/>
      </w:r>
      <w:r>
        <w:rPr>
          <w:i/>
          <w:iCs/>
          <w:color w:val="000000" w:themeColor="text1"/>
          <w:sz w:val="18"/>
          <w:szCs w:val="18"/>
        </w:rPr>
        <w:t>Vincent Mary School of Engineering, Science and Technology</w:t>
        <w:br/>
        <w:t>Suvarnabhumi Campus, Assumption University of Thailand</w:t>
        <w:br/>
      </w:r>
      <w:r>
        <w:rPr>
          <w:color w:val="000000" w:themeColor="text1"/>
          <w:sz w:val="18"/>
          <w:szCs w:val="18"/>
        </w:rPr>
        <w:t>Samut Prakan, Thailand</w:t>
        <w:br/>
        <w:t xml:space="preserve">u6611935@au.edu</w:t>
        <w:br/>
      </w:r>
    </w:p>
    <w:p w14:paraId="5CEF3415" w14:textId="278B3110" w:rsidR="00F76FE8" w:rsidRPr="00F76FE8" w:rsidRDefault="00F76FE8" w:rsidP="00F76FE8">
      <w:pPr>
        <w:pStyle w:val="Author"/>
        <w:spacing w:before="0pt" w:after="0pt"/>
        <w:rPr>
          <w:color w:val="000000" w:themeColor="text1"/>
          <w:sz w:val="18"/>
          <w:szCs w:val="18"/>
        </w:rPr>
      </w:pPr>
      <w:r>
        <w:rPr>
          <w:color w:val="000000" w:themeColor="text1"/>
          <w:sz w:val="18"/>
          <w:szCs w:val="18"/>
        </w:rPr>
        <w:t>Min Pyae Hein</w:t>
      </w:r>
    </w:p>
    <w:p w14:paraId="06909C7A" w14:textId="3C60651C" w:rsidR="00F76FE8" w:rsidRDefault="00C703B1" w:rsidP="00F76FE8">
      <w:pPr>
        <w:pStyle w:val="Author"/>
        <w:spacing w:before="0pt" w:after="0pt"/>
        <w:rPr>
          <w:color w:val="000000" w:themeColor="text1"/>
          <w:sz w:val="18"/>
          <w:szCs w:val="18"/>
        </w:rPr>
      </w:pPr>
      <w:r>
        <w:rPr>
          <w:i/>
          <w:iCs/>
          <w:color w:val="000000" w:themeColor="text1"/>
          <w:sz w:val="18"/>
          <w:szCs w:val="18"/>
        </w:rPr>
        <w:t>Vincent Mary School of Engineering, Science and Technology</w:t>
        <w:br/>
        <w:t>Suvarnabhumi Campus, Assumption University of Thailand</w:t>
        <w:br/>
      </w:r>
      <w:r>
        <w:rPr>
          <w:color w:val="000000" w:themeColor="text1"/>
          <w:sz w:val="18"/>
          <w:szCs w:val="18"/>
        </w:rPr>
        <w:t>Samut Prakan, Thailand</w:t>
        <w:br/>
        <w:t>u6511684@au.edu</w:t>
      </w:r>
    </w:p>
    <w:p w14:paraId="0A88E65D" w14:textId="5DC177BB" w:rsidR="00F76FE8" w:rsidRPr="005B520E" w:rsidRDefault="00F76FE8" w:rsidP="00F76FE8">
      <w:pPr>
        <w:pStyle w:val="Author"/>
        <w:spacing w:before="5pt" w:beforeAutospacing="1"/>
        <w:sectPr w:rsidR="00F76FE8" w:rsidRPr="005B520E" w:rsidSect="003B4E04">
          <w:type w:val="continuous"/>
          <w:pgSz w:w="595.30pt" w:h="841.90pt" w:code="9"/>
          <w:pgMar w:top="22.50pt" w:right="44.65pt" w:bottom="72pt" w:left="44.65pt" w:header="36pt" w:footer="36pt" w:gutter="0pt"/>
          <w:cols w:num="3" w:space="36pt"/>
          <w:docGrid w:linePitch="360"/>
        </w:sectPr>
      </w:pPr>
    </w:p>
    <w:p w14:paraId="40FA2D84" w14:textId="133F6A27" w:rsidR="004D72B5" w:rsidRDefault="009303D9" w:rsidP="00972203">
      <w:pPr>
        <w:pStyle w:val="Abstract"/>
        <w:rPr>
          <w:i/>
          <w:iCs/>
        </w:rPr>
      </w:pPr>
      <w:r>
        <w:rPr>
          <w:i/>
          <w:iCs/>
        </w:rPr>
        <w:t>Abstract</w:t>
      </w:r>
      <w:r>
        <w:t xml:space="preserve">—Traditional Thai pavilions, or salas, are an integral part of Thai architectural heritage, yet many remain documented only as isolated photographs with no interactive digital record. This paper presents an image-based rendering viewer for Sala Chaturamuk Phaichit, the four-porched Thai pavilion at the Assumption University Suvarnabhumi campus, which allows a user to examine the structure from a range of viewpoints without constructing an explicit 3D model. A sequence of photographs is captured along an accessible arc around the pavilion, correspondences between adjacent frames are established through feature matching, and intermediate viewpoints are synthesized through optical-flow-based view interpolation. The resulting frames are assembled into a web viewer driven by click-and-drag input. We discuss two constraints specific to this subject: the adjacent lake restricts the capture path to a partial arc, and the pavilion's four-fold rotational symmetry introduces a risk of false feature correspondences between structurally similar faces.</w:t>
      </w:r>
    </w:p>
    <w:p w14:paraId="58B10678" w14:textId="4B8801B1" w:rsidR="009303D9" w:rsidRPr="004D72B5" w:rsidRDefault="004D72B5" w:rsidP="00972203">
      <w:pPr>
        <w:pStyle w:val="Keywords"/>
      </w:pPr>
      <w:r>
        <w:t>Keywords—Thai arts and culture, rendering, image-based rendering, view interpolation.</w:t>
      </w:r>
    </w:p>
    <w:p w14:paraId="1A521F3C" w14:textId="6BD1F162" w:rsidR="009303D9" w:rsidRPr="00D632BE" w:rsidRDefault="009303D9" w:rsidP="006B6B66">
      <w:pPr>
        <w:pStyle w:val="Heading1"/>
      </w:pPr>
      <w:r>
        <w:t>Introduction</w:t>
      </w:r>
    </w:p>
    <w:p w14:paraId="5B84FB04" w14:textId="53E516A7" w:rsidR="009303D9" w:rsidRPr="005B520E" w:rsidRDefault="009303D9" w:rsidP="00E7596C">
      <w:pPr>
        <w:pStyle w:val="BodyText"/>
      </w:pPr>
      <w:r>
        <w:t xml:space="preserve">Sala pavilions are common features of Thai temples, palaces, and university campuses, providing shaded seating and serving as focal points for ceremony and gathering. Sala Chaturamuk Phaichit, the pavilion at the Assumption University Suvarnabhumi campus, was named by HRH Princess Maha Chakri Sirindhorn and is used for Thai cultural ceremonies and university events. While such structures are appreciated in person, few exist in a form that can be explored remotely or preserved digitally beyond ordinary photographs. Full 3D reconstruction can enable remote exploration, but it typically requires dense multi-view stereo or laser scanning that is impractical for a small student project. Image-based rendering offers an alternative: novel views of a scene can be synthesized directly from a sparse set of photographs, without recovering explicit 3D geometry [1]. In this project we apply image-based rendering to Sala Chaturamuk Phaichit, producing an interactive viewer that approximates a walkaround from a modest set of captured photographs. The remainder of this paper reviews related work in image-based rendering, describes our capture and interpolation pipeline, presents results, and discusses the limitations imposed by the pavilion's setting and symmetry.</w:t>
      </w:r>
    </w:p>
    <w:p w14:paraId="179EA777" w14:textId="6D7BA961" w:rsidR="009303D9" w:rsidRPr="006B6B66" w:rsidRDefault="00422ABA" w:rsidP="006B6B66">
      <w:pPr>
        <w:pStyle w:val="Heading1"/>
      </w:pPr>
      <w:r>
        <w:t>Literature Review</w:t>
      </w:r>
    </w:p>
    <w:p w14:paraId="3C8B3FFF" w14:textId="11A72727" w:rsidR="009303D9" w:rsidRDefault="006460D9" w:rsidP="00ED0149">
      <w:pPr>
        <w:pStyle w:val="Heading2"/>
      </w:pPr>
      <w:r>
        <w:t>Object Movies and View Interpolation</w:t>
      </w:r>
    </w:p>
    <w:p w14:paraId="4522E337" w14:textId="4B2F3E73" w:rsidR="009303D9" w:rsidRPr="005B520E" w:rsidRDefault="006460D9" w:rsidP="00E7596C">
      <w:pPr>
        <w:pStyle w:val="BodyText"/>
      </w:pPr>
      <w:r>
        <w:t xml:space="preserve">Early image-based rendering systems such as QuickTime VR represented an object using a discrete ring of photographs and let a user step between adjacent views to simulate rotation. Chen and Williams introduced view interpolation, using pixel correspondences between image pairs to synthesize intermediate viewpoints and produce smoother transitions than simple frame switching [2]. Seitz and Dyer extended this idea with view morphing, which produces physically plausible in-between views under a simple camera model [3]. These techniques form the basis of the interpolation-based viewer used in this project.</w:t>
      </w:r>
    </w:p>
    <w:p w14:paraId="66739D0E" w14:textId="77777777" w:rsidR="009303D9" w:rsidRPr="005B520E" w:rsidRDefault="009303D9" w:rsidP="00ED0149">
      <w:pPr>
        <w:pStyle w:val="Heading2"/>
      </w:pPr>
      <w:r>
        <w:t>Light Fields and Plenoptic Sampling</w:t>
      </w:r>
    </w:p>
    <w:p w14:paraId="7C5D0763" w14:textId="1452228C" w:rsidR="009303D9" w:rsidRPr="005B520E" w:rsidRDefault="009303D9" w:rsidP="00E7596C">
      <w:pPr>
        <w:pStyle w:val="BodyText"/>
      </w:pPr>
      <w:r>
        <w:t>A complementary line of work treats image-based rendering as sampling a scene's plenoptic function directly. Light field rendering and the closely related lumigraph represent a scene as a dense array of captured rays, allowing novel views to be reconstructed by resampling this ray database rather than interpolating between a small number of photographs [4]. McMillan and Bishop's plenoptic modeling similarly reconstructs new views directly from range-augmented image data [5]. These methods generally require far denser capture than a single ring of photographs, which motivated the simpler view-interpolation approach used here for a sala captured with an ordinary handheld camera.</w:t>
      </w:r>
    </w:p>
    <w:p w14:paraId="17F150FC" w14:textId="1C050A97" w:rsidR="009303D9" w:rsidRDefault="00422ABA" w:rsidP="006B6B66">
      <w:pPr>
        <w:pStyle w:val="Heading1"/>
      </w:pPr>
      <w:r>
        <w:t>Methodology</w:t>
      </w:r>
    </w:p>
    <w:p w14:paraId="1FBC9C4E" w14:textId="2912429A" w:rsidR="00D7522C" w:rsidRPr="00D7522C" w:rsidRDefault="006460D9" w:rsidP="00E7596C">
      <w:pPr>
        <w:pStyle w:val="BodyText"/>
        <w:rPr>
          <w:lang w:val="en-US"/>
        </w:rPr>
      </w:pPr>
      <w:r>
        <w:t xml:space="preserve">Our pipeline consists of three stages: image capture around the physical sala, pose recovery through feature correspondence, and view interpolation to synthesize intermediate frames, followed by assembly into an interactive web viewer.</w:t>
      </w:r>
      <w:r>
        <w:rPr>
          <w:lang w:val="en-US"/>
        </w:rPr>
        <w:t/>
      </w:r>
    </w:p>
    <w:p w14:paraId="21C51E20" w14:textId="078087BA" w:rsidR="009303D9" w:rsidRPr="005B520E" w:rsidRDefault="006460D9" w:rsidP="00E7596C">
      <w:pPr>
        <w:pStyle w:val="BodyText"/>
      </w:pPr>
      <w:r>
        <w:t xml:space="preserve">Each of these stages is described in the remainder of this section.</w:t>
      </w:r>
    </w:p>
    <w:p w14:paraId="22217789" w14:textId="45782FE9" w:rsidR="009303D9" w:rsidRDefault="006460D9" w:rsidP="00ED0149">
      <w:pPr>
        <w:pStyle w:val="Heading2"/>
      </w:pPr>
      <w:r>
        <w:t>Image Capture</w:t>
      </w:r>
    </w:p>
    <w:p w14:paraId="78F3884D" w14:textId="22C40BD0" w:rsidR="009303D9" w:rsidRPr="005B520E" w:rsidRDefault="006460D9" w:rsidP="00E7596C">
      <w:pPr>
        <w:pStyle w:val="BodyText"/>
      </w:pPr>
      <w:r>
        <w:t xml:space="preserve">Photographs will be captured along the safely accessible land-side arc surrounding Sala Chaturamuk Phaichit, walking at an approximately constant camera-to-pavilion distance and a fixed camera height, using the phone's standard 1x lens in landscape orientation and pointing toward the pavilion's centre. Because the adjacent lake and site boundaries may prevent a continuous constant-radius path around all four sides, the viewer represents the measured accessible arc rather than assuming a complete 360-degree rotation; the final frame is not connected back to the first unless a full revolution is genuinely achieved. We target an angular spacing of approximately 5 to 8 degrees between adjacent photographs. Exposure, white balance and focus are locked manually to prevent flicker and refocusing between frames, and capture is scheduled for overcast or consistently shaded conditions to limit shadow movement; pedestrians, moving vehicles, wind-driven vegetation and changing water reflections are avoided where possible. [To record on site: start angle, end angle, total accessible arc, photograph count, and mean angular spacing. These measured values replace all assumed figures.]</w:t>
      </w:r>
    </w:p>
    <w:p w14:paraId="31C0E164" w14:textId="377953E1" w:rsidR="009303D9" w:rsidRDefault="009303D9" w:rsidP="00ED0149">
      <w:pPr>
        <w:pStyle w:val="Heading2"/>
      </w:pPr>
      <w:r>
        <w:t>Pose Recovery and View Interpolation</w:t>
      </w:r>
    </w:p>
    <w:p w14:paraId="4F939710" w14:textId="70047AED" w:rsidR="009303D9" w:rsidRPr="005B520E" w:rsidRDefault="006460D9" w:rsidP="00E7596C">
      <w:pPr>
        <w:pStyle w:val="bulletlist"/>
      </w:pPr>
      <w:r>
        <w:t xml:space="preserve">SIFT keypoints are extracted and matched between each pair of adjacent images. Because the pavilion is four-porched and close to rotationally symmetric, matches are restricted to adjacent frames and filtered with RANSAC to suppress false correspondences between structurally similar faces.</w:t>
      </w:r>
    </w:p>
    <w:p w14:paraId="6C172391" w14:textId="4634426F" w:rsidR="009303D9" w:rsidRPr="005B520E" w:rsidRDefault="006460D9" w:rsidP="00E7596C">
      <w:pPr>
        <w:pStyle w:val="bulletlist"/>
      </w:pPr>
      <w:r>
        <w:t xml:space="preserve">Dense optical flow (Farneback) is computed along each matched pair to build a per-pixel warp field between adjacent viewpoints.</w:t>
      </w:r>
    </w:p>
    <w:p w14:paraId="4EBC5AF3" w14:textId="556731DC" w:rsidR="009303D9" w:rsidRPr="005B520E" w:rsidRDefault="006460D9" w:rsidP="00E7596C">
      <w:pPr>
        <w:pStyle w:val="bulletlist"/>
      </w:pPr>
      <w:r>
        <w:t xml:space="preserve">The warp field generates two to three intermediate frames per adjacent pair through forward warping and cross-dissolving, filling the gaps between captured angles.</w:t>
      </w:r>
    </w:p>
    <w:p w14:paraId="75446D9B" w14:textId="3FBD3617" w:rsidR="009303D9" w:rsidRPr="005B520E" w:rsidRDefault="006460D9" w:rsidP="00E7596C">
      <w:pPr>
        <w:pStyle w:val="BodyText"/>
      </w:pPr>
      <w:r>
        <w:t xml:space="preserve">All real and synthesized frames are ordered by angle and exported as a single sequence for the viewer.</w:t>
      </w:r>
    </w:p>
    <w:p w14:paraId="5D2DD83B" w14:textId="624C2087" w:rsidR="009303D9" w:rsidRDefault="006460D9" w:rsidP="006B6B66">
      <w:pPr>
        <w:pStyle w:val="Heading1"/>
      </w:pPr>
      <w:r>
        <w:t>Results and Analysis</w:t>
      </w:r>
    </w:p>
    <w:p w14:paraId="42CD3244" w14:textId="424C3FE0" w:rsidR="009303D9" w:rsidRPr="005B520E" w:rsidRDefault="006460D9" w:rsidP="00E7596C">
      <w:pPr>
        <w:pStyle w:val="BodyText"/>
      </w:pPr>
      <w:r>
        <w:t xml:space="preserve">[PLACEHOLDER — the observations in this section are a drafting scaffold and must be replaced with actual measurements once both viewers have been built and tested.] We evaluate the viewer qualitatively by comparing the naive frame-switching baseline with the interpolation-based version, and by noting where each approach breaks down.</w:t>
      </w:r>
    </w:p>
    <w:p w14:paraId="550E2495" w14:textId="7C3A7004" w:rsidR="009303D9" w:rsidRDefault="006460D9" w:rsidP="00ED0149">
      <w:pPr>
        <w:pStyle w:val="Heading2"/>
      </w:pPr>
      <w:r>
        <w:t xml:space="preserve">Baseline Object-Movie Viewer</w:t>
      </w:r>
    </w:p>
    <w:p w14:paraId="1A9E45B8" w14:textId="0D320DAE" w:rsidR="009303D9" w:rsidRPr="005B520E" w:rsidRDefault="009303D9" w:rsidP="00E7596C">
      <w:pPr>
        <w:pStyle w:val="BodyText"/>
      </w:pPr>
      <w:r>
        <w:rPr>
          <w:bCs/>
        </w:rPr>
        <w:t xml:space="preserve">The baseline viewer switches directly between the captured photographs as the pavilion is rotated, with no frames synthesized in between.</w:t>
      </w:r>
      <w:r>
        <w:t/>
      </w:r>
    </w:p>
    <w:p w14:paraId="44E5524D" w14:textId="35C88F91" w:rsidR="002850E3" w:rsidRDefault="006460D9" w:rsidP="00794804">
      <w:pPr>
        <w:pStyle w:val="Heading3"/>
      </w:pPr>
      <w:r>
        <w:t>[To record] Whether rotation reads as discrete jumps rather than continuous motion.</w:t>
      </w:r>
    </w:p>
    <w:p w14:paraId="2C931F21" w14:textId="67B2C5C7" w:rsidR="009303D9" w:rsidRPr="005B520E" w:rsidRDefault="006460D9" w:rsidP="00794804">
      <w:pPr>
        <w:pStyle w:val="Heading3"/>
      </w:pPr>
      <w:r>
        <w:t xml:space="preserve">[To record] How the comfortable viewing angle depends on capture density.</w:t>
      </w:r>
      <w:r>
        <w:rPr>
          <w:i w:val="0"/>
        </w:rPr>
        <w:t/>
      </w:r>
    </w:p>
    <w:p w14:paraId="231DEF96" w14:textId="7DA75ABF" w:rsidR="009303D9" w:rsidRPr="005B520E" w:rsidRDefault="006460D9" w:rsidP="00794804">
      <w:pPr>
        <w:pStyle w:val="Heading4"/>
      </w:pPr>
      <w:r>
        <w:t>[To record] The angular spacing at which rotation begins to feel discontinuous.</w:t>
      </w:r>
    </w:p>
    <w:p w14:paraId="4E7D029E" w14:textId="36092105" w:rsidR="009303D9" w:rsidRPr="005B520E" w:rsidRDefault="006460D9" w:rsidP="00794804">
      <w:pPr>
        <w:pStyle w:val="Heading4"/>
      </w:pPr>
      <w:r>
        <w:t xml:space="preserve">[To record] Whether fine roof-tile detail changes abruptly between frames.</w:t>
      </w:r>
      <w:r>
        <w:rPr>
          <w:i w:val="0"/>
        </w:rPr>
        <w:t/>
      </w:r>
    </w:p>
    <w:p w14:paraId="2CDA38EC" w14:textId="2ACDF932" w:rsidR="007D6232" w:rsidRDefault="006460D9" w:rsidP="007D6232">
      <w:pPr>
        <w:pStyle w:val="Heading4"/>
        <w:rPr>
          <w:i w:val="0"/>
        </w:rPr>
      </w:pPr>
      <w:r>
        <w:t xml:space="preserve">[To record] Whether shadows shift position at frame boundaries despite locked exposure.</w:t>
      </w:r>
      <w:r>
        <w:rPr>
          <w:i w:val="0"/>
        </w:rPr>
        <w:t/>
      </w:r>
    </w:p>
    <w:p w14:paraId="3C56E4E8" w14:textId="1960A9B8" w:rsidR="009303D9" w:rsidRDefault="006460D9" w:rsidP="00ED0149">
      <w:pPr>
        <w:pStyle w:val="Heading2"/>
      </w:pPr>
      <w:r>
        <w:t xml:space="preserve">Interpolation-Based Viewer</w:t>
      </w:r>
    </w:p>
    <w:p w14:paraId="6C986348" w14:textId="01C632A1" w:rsidR="009303D9" w:rsidRPr="005B520E" w:rsidRDefault="006460D9" w:rsidP="00E7596C">
      <w:pPr>
        <w:pStyle w:val="BodyText"/>
      </w:pPr>
      <w:r>
        <w:t>Synthesized frames are inserted between each pair of captured photographs using the optical-flow warp described in Section III.</w:t>
      </w:r>
    </w:p>
    <w:p w14:paraId="2D25BA8B" w14:textId="4026F278" w:rsidR="009303D9" w:rsidRPr="005B520E" w:rsidRDefault="006460D9" w:rsidP="00E7596C">
      <w:pPr>
        <w:pStyle w:val="BodyText"/>
      </w:pPr>
      <w:r>
        <w:t xml:space="preserve">[To record] Whether rotation over the roof edges and eaves remains smooth, and where flow tracking holds up.</w:t>
      </w:r>
    </w:p>
    <w:p w14:paraId="1B7223DD" w14:textId="4DD36AA1" w:rsidR="009303D9" w:rsidRPr="005B520E" w:rsidRDefault="006460D9" w:rsidP="00E7596C">
      <w:pPr>
        <w:pStyle w:val="BodyText"/>
      </w:pPr>
      <w:r>
        <w:t xml:space="preserve">[To record] Where artifacts are most visible — candidate regions include repetitive roof-tile patterning, the boundary between the pavilion and background foliage, and the transition between the four symmetric porches.</w:t>
      </w:r>
    </w:p>
    <w:p w14:paraId="04D6A610" w14:textId="41DFFBD1" w:rsidR="009303D9" w:rsidRDefault="006460D9" w:rsidP="00ED0149">
      <w:pPr>
        <w:pStyle w:val="Heading2"/>
      </w:pPr>
      <w:r>
        <w:rPr/>
        <w:t>Quantitative Comparison</w:t>
      </w:r>
    </w:p>
    <w:p w14:paraId="39AD5FF2" w14:textId="5F2F7310" w:rsidR="009303D9" w:rsidRDefault="0004781E" w:rsidP="00FA4C32">
      <w:pPr>
        <w:pStyle w:val="Heading4"/>
      </w:pPr>
      <w:r>
        <w:t xml:space="preserve"> [To record] Results of a short side-by-side comparison of both viewers.</w:t>
      </w:r>
    </w:p>
    <w:p w14:paraId="4B46A03A" w14:textId="7C4B3083" w:rsidR="009303D9" w:rsidRPr="005B520E" w:rsidRDefault="006460D9">
      <w:pPr>
        <w:pStyle w:val="tablehead"/>
      </w:pPr>
      <w:r>
        <w:t>Viewer parameters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01773C08" w:rsidR="009303D9" w:rsidRDefault="009303D9">
            <w:pPr>
              <w:pStyle w:val="tablecolhead"/>
            </w:pPr>
          </w:p>
        </w:tc>
        <w:tc>
          <w:tcPr>
            <w:tcW w:w="207pt" w:type="dxa"/>
            <w:gridSpan w:val="3"/>
            <w:vAlign w:val="center"/>
          </w:tcPr>
          <w:p w14:paraId="46095C2D" w14:textId="4DCF7B63" w:rsidR="009303D9" w:rsidRDefault="009303D9">
            <w:pPr>
              <w:pStyle w:val="tablecolhead"/>
            </w:pPr>
            <w:r>
              <w:t>Viewer Comparison</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324E45CE" w:rsidR="009303D9" w:rsidRDefault="009303D9">
            <w:pPr>
              <w:pStyle w:val="tablecolsubhead"/>
            </w:pPr>
            <w:r>
              <w:t>Metric</w:t>
            </w:r>
          </w:p>
        </w:tc>
        <w:tc>
          <w:tcPr>
            <w:tcW w:w="45pt" w:type="dxa"/>
            <w:vAlign w:val="center"/>
          </w:tcPr>
          <w:p w14:paraId="61A7AA28" w14:textId="1B6950D2" w:rsidR="009303D9" w:rsidRDefault="009303D9">
            <w:pPr>
              <w:pStyle w:val="tablecolsubhead"/>
            </w:pPr>
            <w:r>
              <w:t>Baseline</w:t>
            </w:r>
          </w:p>
        </w:tc>
        <w:tc>
          <w:tcPr>
            <w:tcW w:w="45pt" w:type="dxa"/>
            <w:vAlign w:val="center"/>
          </w:tcPr>
          <w:p w14:paraId="7837B44B" w14:textId="2BBD621A" w:rsidR="009303D9" w:rsidRDefault="009303D9">
            <w:pPr>
              <w:pStyle w:val="tablecolsubhead"/>
            </w:pPr>
            <w:r>
              <w:t>Interp.</w:t>
            </w:r>
          </w:p>
        </w:tc>
      </w:tr>
      <w:tr w:rsidR="009303D9" w14:paraId="1AAA1000" w14:textId="1AAA1000">
        <w:trPr>
          <w:trHeight w:val="320"/>
          <w:jc w:val="center"/>
        </w:trPr>
        <w:tc>
          <w:tcPr>
            <w:tcW w:w="36pt" w:type="dxa"/>
            <w:vAlign w:val="center"/>
          </w:tcPr>
          <w:p w14:paraId="1AAA1001" w14:textId="1AAA1001" w:rsidR="009303D9" w:rsidRDefault="009303D9">
            <w:pPr>
              <w:pStyle w:val="tablecopy"/>
              <w:rPr>
                <w:sz w:val="8"/>
                <w:szCs w:val="8"/>
              </w:rPr>
            </w:pPr>
            <w:r>
              <w:rPr>
                <w:sz w:val="8"/>
                <w:szCs w:val="8"/>
              </w:rPr>
              <w:t>1</w:t>
            </w:r>
          </w:p>
        </w:tc>
        <w:tc>
          <w:tcPr>
            <w:tcW w:w="117pt" w:type="dxa"/>
            <w:vAlign w:val="center"/>
          </w:tcPr>
          <w:p w14:paraId="1AAA1002" w14:textId="1AAA1002" w:rsidR="009303D9" w:rsidRDefault="009303D9">
            <w:pPr>
              <w:pStyle w:val="tablecopy"/>
            </w:pPr>
            <w:r>
              <w:t>Displayed frames</w:t>
            </w:r>
          </w:p>
        </w:tc>
        <w:tc>
          <w:tcPr>
            <w:tcW w:w="45pt" w:type="dxa"/>
            <w:vAlign w:val="center"/>
          </w:tcPr>
          <w:p w14:paraId="1AAA1003" w14:textId="1AAA1003" w:rsidR="009303D9" w:rsidRDefault="009303D9">
            <w:pPr>
              <w:jc w:val="center"/>
              <w:rPr>
                <w:sz w:val="16"/>
                <w:szCs w:val="16"/>
              </w:rPr>
            </w:pPr>
            <w:r>
              <w:rPr>
                <w:sz w:val="16"/>
                <w:szCs w:val="16"/>
              </w:rPr>
              <w:t>TBD</w:t>
            </w:r>
          </w:p>
        </w:tc>
        <w:tc>
          <w:tcPr>
            <w:tcW w:w="45pt" w:type="dxa"/>
            <w:vAlign w:val="center"/>
          </w:tcPr>
          <w:p w14:paraId="1AAA1004" w14:textId="1AAA1004" w:rsidR="009303D9" w:rsidRDefault="009303D9">
            <w:pPr>
              <w:jc w:val="center"/>
              <w:rPr>
                <w:sz w:val="16"/>
                <w:szCs w:val="16"/>
              </w:rPr>
            </w:pPr>
            <w:r>
              <w:rPr>
                <w:sz w:val="16"/>
                <w:szCs w:val="16"/>
              </w:rPr>
              <w:t>TBD</w:t>
            </w:r>
          </w:p>
        </w:tc>
      </w:tr>
      <w:tr w:rsidR="009303D9" w14:paraId="1AAA2000" w14:textId="1AAA2000">
        <w:trPr>
          <w:trHeight w:val="320"/>
          <w:jc w:val="center"/>
        </w:trPr>
        <w:tc>
          <w:tcPr>
            <w:tcW w:w="36pt" w:type="dxa"/>
            <w:vAlign w:val="center"/>
          </w:tcPr>
          <w:p w14:paraId="1AAA2001" w14:textId="1AAA2001" w:rsidR="009303D9" w:rsidRDefault="009303D9">
            <w:pPr>
              <w:pStyle w:val="tablecopy"/>
              <w:rPr>
                <w:sz w:val="8"/>
                <w:szCs w:val="8"/>
              </w:rPr>
            </w:pPr>
            <w:r>
              <w:rPr>
                <w:sz w:val="8"/>
                <w:szCs w:val="8"/>
              </w:rPr>
              <w:t>2</w:t>
            </w:r>
          </w:p>
        </w:tc>
        <w:tc>
          <w:tcPr>
            <w:tcW w:w="117pt" w:type="dxa"/>
            <w:vAlign w:val="center"/>
          </w:tcPr>
          <w:p w14:paraId="1AAA2002" w14:textId="1AAA2002" w:rsidR="009303D9" w:rsidRDefault="009303D9">
            <w:pPr>
              <w:pStyle w:val="tablecopy"/>
            </w:pPr>
            <w:r>
              <w:t>Mean angular step between displayed frames</w:t>
            </w:r>
          </w:p>
        </w:tc>
        <w:tc>
          <w:tcPr>
            <w:tcW w:w="45pt" w:type="dxa"/>
            <w:vAlign w:val="center"/>
          </w:tcPr>
          <w:p w14:paraId="1AAA2003" w14:textId="1AAA2003" w:rsidR="009303D9" w:rsidRDefault="009303D9">
            <w:pPr>
              <w:jc w:val="center"/>
              <w:rPr>
                <w:sz w:val="16"/>
                <w:szCs w:val="16"/>
              </w:rPr>
            </w:pPr>
            <w:r>
              <w:rPr>
                <w:sz w:val="16"/>
                <w:szCs w:val="16"/>
              </w:rPr>
              <w:t>TBD</w:t>
            </w:r>
          </w:p>
        </w:tc>
        <w:tc>
          <w:tcPr>
            <w:tcW w:w="45pt" w:type="dxa"/>
            <w:vAlign w:val="center"/>
          </w:tcPr>
          <w:p w14:paraId="1AAA2004" w14:textId="1AAA2004" w:rsidR="009303D9" w:rsidRDefault="009303D9">
            <w:pPr>
              <w:jc w:val="center"/>
              <w:rPr>
                <w:sz w:val="16"/>
                <w:szCs w:val="16"/>
              </w:rPr>
            </w:pPr>
            <w:r>
              <w:rPr>
                <w:sz w:val="16"/>
                <w:szCs w:val="16"/>
              </w:rPr>
              <w:t>TBD</w:t>
            </w:r>
          </w:p>
        </w:tc>
      </w:tr>
      <w:tr w:rsidR="009303D9" w14:paraId="1AAA3000" w14:textId="1AAA3000">
        <w:trPr>
          <w:trHeight w:val="320"/>
          <w:jc w:val="center"/>
        </w:trPr>
        <w:tc>
          <w:tcPr>
            <w:tcW w:w="36pt" w:type="dxa"/>
            <w:vAlign w:val="center"/>
          </w:tcPr>
          <w:p w14:paraId="1AAA3001" w14:textId="1AAA3001" w:rsidR="009303D9" w:rsidRDefault="009303D9">
            <w:pPr>
              <w:pStyle w:val="tablecopy"/>
              <w:rPr>
                <w:sz w:val="8"/>
                <w:szCs w:val="8"/>
              </w:rPr>
            </w:pPr>
            <w:r>
              <w:rPr>
                <w:sz w:val="8"/>
                <w:szCs w:val="8"/>
              </w:rPr>
              <w:t>3</w:t>
            </w:r>
          </w:p>
        </w:tc>
        <w:tc>
          <w:tcPr>
            <w:tcW w:w="117pt" w:type="dxa"/>
            <w:vAlign w:val="center"/>
          </w:tcPr>
          <w:p w14:paraId="1AAA3002" w14:textId="1AAA3002" w:rsidR="009303D9" w:rsidRDefault="009303D9">
            <w:pPr>
              <w:pStyle w:val="tablecopy"/>
            </w:pPr>
            <w:r>
              <w:t>Perceived rotation smoothness (1–5, user test)</w:t>
            </w:r>
          </w:p>
        </w:tc>
        <w:tc>
          <w:tcPr>
            <w:tcW w:w="45pt" w:type="dxa"/>
            <w:vAlign w:val="center"/>
          </w:tcPr>
          <w:p w14:paraId="1AAA3003" w14:textId="1AAA3003" w:rsidR="009303D9" w:rsidRDefault="009303D9">
            <w:pPr>
              <w:jc w:val="center"/>
              <w:rPr>
                <w:sz w:val="16"/>
                <w:szCs w:val="16"/>
              </w:rPr>
            </w:pPr>
            <w:r>
              <w:rPr>
                <w:sz w:val="16"/>
                <w:szCs w:val="16"/>
              </w:rPr>
              <w:t>TBD</w:t>
            </w:r>
          </w:p>
        </w:tc>
        <w:tc>
          <w:tcPr>
            <w:tcW w:w="45pt" w:type="dxa"/>
            <w:vAlign w:val="center"/>
          </w:tcPr>
          <w:p w14:paraId="1AAA3004" w14:textId="1AAA3004" w:rsidR="009303D9" w:rsidRDefault="009303D9">
            <w:pPr>
              <w:jc w:val="center"/>
              <w:rPr>
                <w:sz w:val="16"/>
                <w:szCs w:val="16"/>
              </w:rPr>
            </w:pPr>
            <w:r>
              <w:rPr>
                <w:sz w:val="16"/>
                <w:szCs w:val="16"/>
              </w:rPr>
              <w:t>TBD</w:t>
            </w:r>
          </w:p>
        </w:tc>
      </w:tr>
    </w:tbl>
    <w:p w14:paraId="7DE18D4A" w14:textId="32267C48" w:rsidR="00422ABA" w:rsidRPr="006460D9" w:rsidRDefault="00422ABA" w:rsidP="006460D9">
      <w:pPr>
        <w:pStyle w:val="tablefootnote"/>
        <w:numPr>
          <w:ilvl w:val="0"/>
          <w:numId w:val="0"/>
        </w:numPr>
        <w:spacing w:before="0pt" w:after="0pt"/>
        <w:rPr>
          <w:sz w:val="20"/>
          <w:szCs w:val="20"/>
        </w:rPr>
      </w:pPr>
    </w:p>
    <w:p w14:paraId="6DF646C2" w14:textId="3FBE53D0" w:rsidR="006460D9" w:rsidRPr="006460D9" w:rsidRDefault="00E112DF" w:rsidP="00E112DF">
      <w:pPr>
        <w:pStyle w:val="tablefootnote"/>
        <w:numPr>
          <w:ilvl w:val="0"/>
          <w:numId w:val="0"/>
        </w:numPr>
        <w:spacing w:before="0pt" w:after="0pt"/>
        <w:jc w:val="center"/>
        <w:rPr>
          <w:sz w:val="20"/>
          <w:szCs w:val="20"/>
        </w:rPr>
      </w:pPr>
      <w:r>
        <w:rPr>
          <w:noProof/>
        </w:rPr>
        <w:drawing>
          <wp:inline distT="0" distB="0" distL="0" distR="0" wp14:anchorId="03A21DDF" wp14:editId="604872DF">
            <wp:extent cx="3089910" cy="1103539"/>
            <wp:effectExtent l="0" t="0" r="15240" b="20955"/>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89910" cy="1103539"/>
                    </a:xfrm>
                    <a:prstGeom prst="rect">
                      <a:avLst/>
                    </a:prstGeom>
                    <a:noFill/>
                    <a:ln w="9525">
                      <a:solidFill>
                        <a:srgbClr val="000000"/>
                      </a:solidFill>
                      <a:miter lim="800%"/>
                      <a:headEnd/>
                      <a:tailEnd/>
                    </a:ln>
                  </wp:spPr>
                  <wp:txbx>
                    <wne:txbxContent>
                      <w:p w14:paraId="1611B0F5" w14:textId="4A24C256" w:rsidR="00E112DF" w:rsidRPr="00E112DF" w:rsidRDefault="00E112DF" w:rsidP="00E112DF">
                        <w:pPr>
                          <w:pStyle w:val="BodyText"/>
                          <w:ind w:firstLine="0pt"/>
                          <w:rPr>
                            <w:lang w:val="en-US"/>
                          </w:rPr>
                        </w:pPr>
                      </w:p>
                    </wne:txbxContent>
                  </wp:txbx>
                  <wp:bodyPr rot="0" vert="horz" wrap="square" lIns="91440" tIns="45720" rIns="91440" bIns="45720" anchor="t" anchorCtr="0" upright="1">
                    <a:noAutofit/>
                  </wp:bodyPr>
                </wp:wsp>
              </a:graphicData>
            </a:graphic>
          </wp:inline>
        </w:drawing>
      </w:r>
    </w:p>
    <w:p w14:paraId="0CD89839" w14:textId="2FD2658B" w:rsidR="005B0344" w:rsidRDefault="005B0344" w:rsidP="003A19E2">
      <w:pPr>
        <w:pStyle w:val="figurecaption"/>
      </w:pPr>
      <w:r>
        <w:t xml:space="preserve">Overview of the image capture and view interpolation pipeline used to build the Sala Chaturamuk Phaichit viewer.</w:t>
      </w:r>
    </w:p>
    <w:p w14:paraId="6C54798D" w14:textId="658630FB" w:rsidR="0080791D" w:rsidRDefault="009335C9" w:rsidP="00E7596C">
      <w:pPr>
        <w:pStyle w:val="BodyText"/>
      </w:pPr>
      <w:r>
        <w:t xml:space="preserve">[PLACEHOLDER — replace once experiments are complete.] This section should conclude by stating whether the results support the core premise of image-based rendering: that convincing novel views of the pavilion can be produced from a modest set of photographs without explicit 3D reconstruction.</w:t>
      </w:r>
    </w:p>
    <w:p w14:paraId="507F1431" w14:textId="73871411" w:rsidR="009335C9" w:rsidRDefault="009335C9" w:rsidP="009335C9">
      <w:pPr>
        <w:pStyle w:val="Heading1"/>
      </w:pPr>
      <w:r>
        <w:t>Conclusion</w:t>
      </w:r>
    </w:p>
    <w:p w14:paraId="40A9E33B" w14:textId="2755A130" w:rsidR="009335C9" w:rsidRPr="005B520E" w:rsidRDefault="009335C9" w:rsidP="009335C9">
      <w:pPr>
        <w:pStyle w:val="BodyText"/>
      </w:pPr>
      <w:r>
        <w:t>We presented an image-based rendering viewer for Sala Chaturamuk Phaichit, the four-porched Thai pavilion at the Assumption University Suvarnabhumi campus. A sequence of photographs captured along the accessible arc around the pavilion was combined with optical-flow-based view interpolation to produce a web-based viewer offering smoother rotation than a naive frame-switching baseline. Two constraints specific to this subject shaped the work: the adjacent lake prevents a complete circular capture path, and the pavilion's four-fold rotational symmetry complicates feature matching between structurally similar faces. Future work includes capturing from a boat or elevated position to close the arc, adding multiple rings at different elevations to support tilt as well as rotation, and comparing optical-flow interpolation against learned view-synthesis methods.</w:t>
      </w:r>
    </w:p>
    <w:p w14:paraId="144D91D7" w14:textId="670F6B12" w:rsidR="009303D9" w:rsidRPr="005B520E" w:rsidRDefault="009303D9" w:rsidP="00A02377">
      <w:pPr>
        <w:pStyle w:val="Heading5"/>
      </w:pPr>
      <w:r>
        <w:t>References</w:t>
      </w:r>
    </w:p>
    <w:p w14:paraId="7EE0A05F" w14:textId="0675D6A1" w:rsidR="009303D9" w:rsidRDefault="00F76FE8" w:rsidP="0004781E">
      <w:pPr>
        <w:pStyle w:val="references"/>
        <w:ind w:start="17.70pt" w:hanging="17.70pt"/>
      </w:pPr>
      <w:r>
        <w:t xml:space="preserve">R. Szeliski, Computer Vision: Algorithms and Applications, 2nd ed. Cham, Switzerland: Springer, 2022.</w:t>
      </w:r>
    </w:p>
    <w:p w14:paraId="57DBF316" w14:textId="63998D91" w:rsidR="008147B5" w:rsidRPr="00156B74" w:rsidRDefault="008567AF" w:rsidP="008147B5">
      <w:pPr>
        <w:pStyle w:val="references"/>
        <w:autoSpaceDE w:val="0"/>
        <w:autoSpaceDN w:val="0"/>
        <w:adjustRightInd w:val="0"/>
        <w:ind w:start="17.70pt" w:hanging="17.70pt"/>
        <w:jc w:val="start"/>
      </w:pPr>
      <w:r>
        <w:t xml:space="preserve">S. E. Chen and L. Williams, “View interpolation for image synthesis,” in Proc. 20th Annu. Conf. Comput. Graph. Interact. Tech. (SIGGRAPH ’93), Anaheim, CA, USA, 1993, pp. 279–288.</w:t>
      </w:r>
    </w:p>
    <w:p w14:paraId="10AA10A1" w14:textId="10AA10A1" w:rsidR="008147B5" w:rsidRPr="00156B74" w:rsidRDefault="008567AF" w:rsidP="008147B5">
      <w:pPr>
        <w:pStyle w:val="references"/>
        <w:autoSpaceDE w:val="0"/>
        <w:autoSpaceDN w:val="0"/>
        <w:adjustRightInd w:val="0"/>
        <w:ind w:start="17.70pt" w:hanging="17.70pt"/>
        <w:jc w:val="start"/>
      </w:pPr>
      <w:r>
        <w:t xml:space="preserve">S. M. Seitz and C. R. Dyer, “View morphing,” in Proc. 23rd Annu. Conf. Comput. Graph. Interact. Tech. (SIGGRAPH ’96), New Orleans, LA, USA, 1996, pp. 21–30.</w:t>
      </w:r>
    </w:p>
    <w:p w14:paraId="10AA10A2" w14:textId="10AA10A2" w:rsidR="008147B5" w:rsidRPr="00156B74" w:rsidRDefault="008567AF" w:rsidP="008147B5">
      <w:pPr>
        <w:pStyle w:val="references"/>
        <w:autoSpaceDE w:val="0"/>
        <w:autoSpaceDN w:val="0"/>
        <w:adjustRightInd w:val="0"/>
        <w:ind w:start="17.70pt" w:hanging="17.70pt"/>
        <w:jc w:val="start"/>
      </w:pPr>
      <w:r>
        <w:t xml:space="preserve">M. Levoy and P. Hanrahan, “Light field rendering,” in Proc. 23rd Annu. Conf. Comput. Graph. Interact. Tech. (SIGGRAPH ’96), New Orleans, LA, USA, 1996, pp. 31–42.</w:t>
      </w:r>
    </w:p>
    <w:p w14:paraId="10AA10A3" w14:textId="10AA10A3" w:rsidR="008147B5" w:rsidRPr="00156B74" w:rsidRDefault="008567AF" w:rsidP="008147B5">
      <w:pPr>
        <w:pStyle w:val="references"/>
        <w:autoSpaceDE w:val="0"/>
        <w:autoSpaceDN w:val="0"/>
        <w:adjustRightInd w:val="0"/>
        <w:ind w:start="17.70pt" w:hanging="17.70pt"/>
        <w:jc w:val="start"/>
      </w:pPr>
      <w:r>
        <w:t xml:space="preserve">L. McMillan and G. Bishop, “Plenoptic modeling: An image-based rendering system,” in Proc. 22nd Annu. Conf. Comput. Graph. Interact. Tech. (SIGGRAPH ’95), Los Angeles, CA, USA, 1995, pp. 39–46.</w:t>
      </w:r>
    </w:p>
    <w:p w14:paraId="2CBC4D6A" w14:textId="0CCA7448"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02232E4C"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2809AB0" w14:textId="77777777" w:rsidR="000E2EAA" w:rsidRDefault="000E2EAA" w:rsidP="001A3B3D">
      <w:r>
        <w:separator/>
      </w:r>
    </w:p>
  </w:endnote>
  <w:endnote w:type="continuationSeparator" w:id="0">
    <w:p w14:paraId="6B62ADC1" w14:textId="77777777" w:rsidR="000E2EAA" w:rsidRDefault="000E2EA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Angsana New">
    <w:panose1 w:val="02020603050405020304"/>
    <w:charset w:characterSet="iso-8859-1"/>
    <w:family w:val="roman"/>
    <w:pitch w:val="variable"/>
    <w:sig w:usb0="81000003" w:usb1="00000000" w:usb2="00000000" w:usb3="00000000" w:csb0="00010001" w:csb1="00000000"/>
  </w:font>
  <w:font w:name="Calibri">
    <w:panose1 w:val="020F0502020204030204"/>
    <w:charset w:characterSet="iso-8859-1"/>
    <w:family w:val="swiss"/>
    <w:pitch w:val="variable"/>
    <w:sig w:usb0="E4002EFF" w:usb1="C200247B" w:usb2="00000009" w:usb3="00000000" w:csb0="000001FF" w:csb1="00000000"/>
  </w:font>
  <w:font w:name="Cordia New">
    <w:panose1 w:val="020B0304020202020204"/>
    <w:charset w:characterSet="iso-8859-1"/>
    <w:family w:val="swiss"/>
    <w:pitch w:val="variable"/>
    <w:sig w:usb0="81000003" w:usb1="00000000" w:usb2="00000000" w:usb3="00000000" w:csb0="0001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47B75F6F" w:rsidR="001A3B3D" w:rsidRPr="00D70FDF" w:rsidRDefault="001A3B3D" w:rsidP="00D70FDF">
    <w:pPr>
      <w:pStyle w:val="Footer"/>
      <w:jc w:val="both"/>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AAD5B44" w14:textId="77777777" w:rsidR="000E2EAA" w:rsidRDefault="000E2EAA" w:rsidP="001A3B3D">
      <w:r>
        <w:separator/>
      </w:r>
    </w:p>
  </w:footnote>
  <w:footnote w:type="continuationSeparator" w:id="0">
    <w:p w14:paraId="053B8DA6" w14:textId="77777777" w:rsidR="000E2EAA" w:rsidRDefault="000E2EA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2EAA"/>
    <w:rsid w:val="001A2EFD"/>
    <w:rsid w:val="001A3B3D"/>
    <w:rsid w:val="001B67DC"/>
    <w:rsid w:val="001E2E8E"/>
    <w:rsid w:val="002254A9"/>
    <w:rsid w:val="00233D97"/>
    <w:rsid w:val="002347A2"/>
    <w:rsid w:val="002850E3"/>
    <w:rsid w:val="00354FCF"/>
    <w:rsid w:val="003A19E2"/>
    <w:rsid w:val="003B2B40"/>
    <w:rsid w:val="003B4E04"/>
    <w:rsid w:val="003D4BB3"/>
    <w:rsid w:val="003F5A08"/>
    <w:rsid w:val="00420716"/>
    <w:rsid w:val="00422ABA"/>
    <w:rsid w:val="004325FB"/>
    <w:rsid w:val="004432BA"/>
    <w:rsid w:val="0044407E"/>
    <w:rsid w:val="00447BB9"/>
    <w:rsid w:val="0046031D"/>
    <w:rsid w:val="004739C2"/>
    <w:rsid w:val="00473AC9"/>
    <w:rsid w:val="004C4CC9"/>
    <w:rsid w:val="004D72B5"/>
    <w:rsid w:val="00551B7F"/>
    <w:rsid w:val="0056610F"/>
    <w:rsid w:val="00575BCA"/>
    <w:rsid w:val="005B0344"/>
    <w:rsid w:val="005B520E"/>
    <w:rsid w:val="005E2800"/>
    <w:rsid w:val="00605825"/>
    <w:rsid w:val="006134E1"/>
    <w:rsid w:val="00645D22"/>
    <w:rsid w:val="006460D9"/>
    <w:rsid w:val="00651A08"/>
    <w:rsid w:val="00654204"/>
    <w:rsid w:val="00670434"/>
    <w:rsid w:val="006A5D82"/>
    <w:rsid w:val="006B6B66"/>
    <w:rsid w:val="006F6D3D"/>
    <w:rsid w:val="007063E9"/>
    <w:rsid w:val="00715BEA"/>
    <w:rsid w:val="00740EEA"/>
    <w:rsid w:val="00794804"/>
    <w:rsid w:val="007B33F1"/>
    <w:rsid w:val="007B6DDA"/>
    <w:rsid w:val="007C0308"/>
    <w:rsid w:val="007C2FF2"/>
    <w:rsid w:val="007D6232"/>
    <w:rsid w:val="007E48EF"/>
    <w:rsid w:val="007F1F99"/>
    <w:rsid w:val="007F768F"/>
    <w:rsid w:val="00805861"/>
    <w:rsid w:val="0080791D"/>
    <w:rsid w:val="00810081"/>
    <w:rsid w:val="008147B5"/>
    <w:rsid w:val="00836367"/>
    <w:rsid w:val="008567AF"/>
    <w:rsid w:val="00873603"/>
    <w:rsid w:val="008A2C7D"/>
    <w:rsid w:val="008B6524"/>
    <w:rsid w:val="008C4B23"/>
    <w:rsid w:val="008D2500"/>
    <w:rsid w:val="008F6E2C"/>
    <w:rsid w:val="009171D3"/>
    <w:rsid w:val="009303D9"/>
    <w:rsid w:val="009335C9"/>
    <w:rsid w:val="00933C64"/>
    <w:rsid w:val="00972203"/>
    <w:rsid w:val="009F1D79"/>
    <w:rsid w:val="00A02377"/>
    <w:rsid w:val="00A059B3"/>
    <w:rsid w:val="00A56EBA"/>
    <w:rsid w:val="00AE3409"/>
    <w:rsid w:val="00B11A60"/>
    <w:rsid w:val="00B22613"/>
    <w:rsid w:val="00B44A76"/>
    <w:rsid w:val="00B768D1"/>
    <w:rsid w:val="00BA1025"/>
    <w:rsid w:val="00BC3420"/>
    <w:rsid w:val="00BD670B"/>
    <w:rsid w:val="00BE7D3C"/>
    <w:rsid w:val="00BF5FF6"/>
    <w:rsid w:val="00C0207F"/>
    <w:rsid w:val="00C16117"/>
    <w:rsid w:val="00C20A6C"/>
    <w:rsid w:val="00C3075A"/>
    <w:rsid w:val="00C66D12"/>
    <w:rsid w:val="00C703B1"/>
    <w:rsid w:val="00C919A4"/>
    <w:rsid w:val="00CA4392"/>
    <w:rsid w:val="00CC393F"/>
    <w:rsid w:val="00D2176E"/>
    <w:rsid w:val="00D632BE"/>
    <w:rsid w:val="00D70FDF"/>
    <w:rsid w:val="00D72D06"/>
    <w:rsid w:val="00D7522C"/>
    <w:rsid w:val="00D7536F"/>
    <w:rsid w:val="00D76668"/>
    <w:rsid w:val="00DF3F58"/>
    <w:rsid w:val="00E07383"/>
    <w:rsid w:val="00E112DF"/>
    <w:rsid w:val="00E165BC"/>
    <w:rsid w:val="00E61E12"/>
    <w:rsid w:val="00E7596C"/>
    <w:rsid w:val="00E878F2"/>
    <w:rsid w:val="00ED0149"/>
    <w:rsid w:val="00EF7DE3"/>
    <w:rsid w:val="00F03103"/>
    <w:rsid w:val="00F271DE"/>
    <w:rsid w:val="00F627DA"/>
    <w:rsid w:val="00F7288F"/>
    <w:rsid w:val="00F76FE8"/>
    <w:rsid w:val="00F847A6"/>
    <w:rsid w:val="00F9441B"/>
    <w:rsid w:val="00FA4C32"/>
    <w:rsid w:val="00FB0D80"/>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F76FE8"/>
    <w:rPr>
      <w:color w:val="0563C1" w:themeColor="hyperlink"/>
      <w:u w:val="single"/>
    </w:rPr>
  </w:style>
  <w:style w:type="character" w:styleId="UnresolvedMention">
    <w:name w:val="Unresolved Mention"/>
    <w:basedOn w:val="DefaultParagraphFont"/>
    <w:uiPriority w:val="99"/>
    <w:semiHidden/>
    <w:unhideWhenUsed/>
    <w:rsid w:val="00F76FE8"/>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customXml" Target="../customXml/item4.xml"/><Relationship Id="rId3" Type="http://purl.oclc.org/ooxml/officeDocument/relationships/styles" Target="styles.xml"/><Relationship Id="rId7" Type="http://purl.oclc.org/ooxml/officeDocument/relationships/endnotes" Target="endnotes.xml"/><Relationship Id="rId12" Type="http://purl.oclc.org/ooxml/officeDocument/relationships/customXml" Target="../customXml/item3.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customXml" Target="../customXml/item2.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CA674CEC26FCF4591194308972A7836" ma:contentTypeVersion="10" ma:contentTypeDescription="Create a new document." ma:contentTypeScope="" ma:versionID="1ee74dfc19b53f7f63086a6827ad7ea7">
  <xsd:schema xmlns:xsd="http://www.w3.org/2001/XMLSchema" xmlns:xs="http://www.w3.org/2001/XMLSchema" xmlns:p="http://schemas.microsoft.com/office/2006/metadata/properties" xmlns:ns2="c27f7001-81a4-451f-bb72-9c8b6a30fd01" xmlns:ns3="5dbbcfdd-641d-42ed-b89a-2cb2451897ef" targetNamespace="http://schemas.microsoft.com/office/2006/metadata/properties" ma:root="true" ma:fieldsID="1a063cc532b3c4ab51b029627793b168" ns2:_="" ns3:_="">
    <xsd:import namespace="c27f7001-81a4-451f-bb72-9c8b6a30fd01"/>
    <xsd:import namespace="5dbbcfdd-641d-42ed-b89a-2cb2451897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7f7001-81a4-451f-bb72-9c8b6a30f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a2e50e-30fd-4e6a-aad8-04f72bd8e08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bbcfdd-641d-42ed-b89a-2cb2451897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e0368ed-1b81-4b2f-a05e-853aab3396fe}" ma:internalName="TaxCatchAll" ma:showField="CatchAllData" ma:web="5dbbcfdd-641d-42ed-b89a-2cb2451897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dbbcfdd-641d-42ed-b89a-2cb2451897ef" xsi:nil="true"/>
    <lcf76f155ced4ddcb4097134ff3c332f xmlns="c27f7001-81a4-451f-bb72-9c8b6a30fd01">
      <Terms xmlns="http://schemas.microsoft.com/office/infopath/2007/PartnerControls"/>
    </lcf76f155ced4ddcb4097134ff3c332f>
  </documentManagement>
</p:properties>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D28CC447-685F-4580-93A3-4906AECB669C}"/>
</file>

<file path=customXml/itemProps3.xml><?xml version="1.0" encoding="utf-8"?>
<ds:datastoreItem xmlns:ds="http://schemas.openxmlformats.org/officeDocument/2006/customXml" ds:itemID="{F2993B60-A8F8-4E3E-AC0F-645CD3999391}"/>
</file>

<file path=customXml/itemProps4.xml><?xml version="1.0" encoding="utf-8"?>
<ds:datastoreItem xmlns:ds="http://schemas.openxmlformats.org/officeDocument/2006/customXml" ds:itemID="{BD474D59-C140-4160-A654-4DEF6F6446B8}"/>
</file>

<file path=docProps/app.xml><?xml version="1.0" encoding="utf-8"?>
<Properties xmlns="http://purl.oclc.org/ooxml/officeDocument/extendedProperties" xmlns:vt="http://purl.oclc.org/ooxml/officeDocument/docPropsVTypes">
  <Template>Normal.dotm</Template>
  <TotalTime>8</TotalTime>
  <Pages>1</Pages>
  <Words>136</Words>
  <Characters>779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DOBRI ATANASSOV BATOVSKI</cp:lastModifiedBy>
  <cp:revision>4</cp:revision>
  <dcterms:created xsi:type="dcterms:W3CDTF">2026-08-11T07:13:00Z</dcterms:created>
  <dcterms:modified xsi:type="dcterms:W3CDTF">2026-08-11T07:14:00Z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0x010100DCA674CEC26FCF4591194308972A7836</vt:lpwstr>
  </property>
</Properties>
</file>