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arbeitsumgebung-vorlage"/>
    <w:p>
      <w:pPr>
        <w:pStyle w:val="Heading1"/>
      </w:pPr>
      <w:r>
        <w:t xml:space="preserve">Arbeitsumgebung: Vorlage</w:t>
      </w:r>
    </w:p>
    <w:p>
      <w:pPr>
        <w:pStyle w:val="FirstParagraph"/>
      </w:pPr>
      <w:r>
        <w:t xml:space="preserve">Füllen Sie dies</w:t>
      </w:r>
      <w:r>
        <w:t xml:space="preserve"> </w:t>
      </w:r>
      <w:r>
        <w:rPr>
          <w:b/>
          <w:bCs/>
        </w:rPr>
        <w:t xml:space="preserve">einmal</w:t>
      </w:r>
      <w:r>
        <w:t xml:space="preserve"> </w:t>
      </w:r>
      <w:r>
        <w:t xml:space="preserve">in der Übung «Arbeitsbereich einrichten» aus und aktualisieren Sie es bei Änderungen (mit Datum). Eine Zeile pro Werkzeug.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337"/>
        <w:gridCol w:w="1053"/>
        <w:gridCol w:w="884"/>
        <w:gridCol w:w="421"/>
        <w:gridCol w:w="547"/>
        <w:gridCol w:w="1179"/>
        <w:gridCol w:w="1011"/>
        <w:gridCol w:w="505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Werkzeug und Version</w:t>
            </w:r>
          </w:p>
        </w:tc>
        <w:tc>
          <w:tcPr/>
          <w:p>
            <w:pPr>
              <w:pStyle w:val="Compact"/>
            </w:pPr>
            <w:r>
              <w:t xml:space="preserve">Anbieter</w:t>
            </w:r>
          </w:p>
        </w:tc>
        <w:tc>
          <w:tcPr/>
          <w:p>
            <w:pPr>
              <w:pStyle w:val="Compact"/>
            </w:pPr>
            <w:r>
              <w:t xml:space="preserve">Konto</w:t>
            </w:r>
          </w:p>
        </w:tc>
        <w:tc>
          <w:tcPr/>
          <w:p>
            <w:pPr>
              <w:pStyle w:val="Compact"/>
            </w:pPr>
            <w:r>
              <w:t xml:space="preserve">Tarif</w:t>
            </w:r>
          </w:p>
        </w:tc>
        <w:tc>
          <w:tcPr/>
          <w:p>
            <w:pPr>
              <w:pStyle w:val="Compact"/>
            </w:pPr>
            <w:r>
              <w:t xml:space="preserve">Websuche</w:t>
            </w:r>
          </w:p>
        </w:tc>
        <w:tc>
          <w:tcPr/>
          <w:p>
            <w:pPr>
              <w:pStyle w:val="Compact"/>
            </w:pPr>
            <w:r>
              <w:t xml:space="preserve">Dateien lesen</w:t>
            </w:r>
          </w:p>
        </w:tc>
        <w:tc>
          <w:tcPr/>
          <w:p>
            <w:pPr>
              <w:pStyle w:val="Compact"/>
            </w:pPr>
            <w:r>
              <w:t xml:space="preserve">Denkmodus</w:t>
            </w:r>
          </w:p>
        </w:tc>
        <w:tc>
          <w:tcPr/>
          <w:p>
            <w:pPr>
              <w:pStyle w:val="Compact"/>
            </w:pPr>
            <w:r>
              <w:t xml:space="preserve">Speicher und Chatverlauf</w:t>
            </w:r>
          </w:p>
        </w:tc>
        <w:tc>
          <w:tcPr/>
          <w:p>
            <w:pPr>
              <w:pStyle w:val="Compact"/>
            </w:pPr>
            <w:r>
              <w:t xml:space="preserve">Datum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[Name, Version wie in der Oberfläche angezeigt]</w:t>
            </w:r>
          </w:p>
        </w:tc>
        <w:tc>
          <w:tcPr/>
          <w:p>
            <w:pPr>
              <w:pStyle w:val="Compact"/>
            </w:pPr>
            <w:r>
              <w:t xml:space="preserve">[Name]</w:t>
            </w:r>
          </w:p>
        </w:tc>
        <w:tc>
          <w:tcPr/>
          <w:p>
            <w:pPr>
              <w:pStyle w:val="Compact"/>
            </w:pPr>
            <w:r>
              <w:t xml:space="preserve">[institutionell / privat]</w:t>
            </w:r>
          </w:p>
        </w:tc>
        <w:tc>
          <w:tcPr/>
          <w:p>
            <w:pPr>
              <w:pStyle w:val="Compact"/>
            </w:pPr>
            <w:r>
              <w:t xml:space="preserve">[kostenlos / bezahlt]</w:t>
            </w:r>
          </w:p>
        </w:tc>
        <w:tc>
          <w:tcPr/>
          <w:p>
            <w:pPr>
              <w:pStyle w:val="Compact"/>
            </w:pPr>
            <w:r>
              <w:t xml:space="preserve">[an / aus]</w:t>
            </w:r>
          </w:p>
        </w:tc>
        <w:tc>
          <w:tcPr/>
          <w:p>
            <w:pPr>
              <w:pStyle w:val="Compact"/>
            </w:pPr>
            <w:r>
              <w:t xml:space="preserve">[ja / nein]</w:t>
            </w:r>
          </w:p>
        </w:tc>
        <w:tc>
          <w:tcPr/>
          <w:p>
            <w:pPr>
              <w:pStyle w:val="Compact"/>
            </w:pPr>
            <w:r>
              <w:t xml:space="preserve">[an / aus / nicht vorhanden]</w:t>
            </w:r>
          </w:p>
        </w:tc>
        <w:tc>
          <w:tcPr/>
          <w:p>
            <w:pPr>
              <w:pStyle w:val="Compact"/>
            </w:pPr>
            <w:r>
              <w:t xml:space="preserve">[an / aus]</w:t>
            </w:r>
          </w:p>
        </w:tc>
        <w:tc>
          <w:tcPr/>
          <w:p>
            <w:pPr>
              <w:pStyle w:val="Compact"/>
            </w:pPr>
            <w:r>
              <w:t xml:space="preserve">[JJJJ-MM-TT]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Start w:id="9" w:name="regeln-und-entscheidungen"/>
    <w:p>
      <w:pPr>
        <w:pStyle w:val="Heading2"/>
      </w:pPr>
      <w:r>
        <w:t xml:space="preserve">Regeln und Entscheidungen</w:t>
      </w:r>
    </w:p>
    <w:p>
      <w:pPr>
        <w:pStyle w:val="Compact"/>
        <w:numPr>
          <w:ilvl w:val="0"/>
          <w:numId w:val="1001"/>
        </w:numPr>
      </w:pPr>
      <w:r>
        <w:t xml:space="preserve">Regeln meiner Hochschule zu KI und Datenschutz: [Link oder «nicht gefunden, nachgefragt am …»]</w:t>
      </w:r>
    </w:p>
    <w:p>
      <w:pPr>
        <w:pStyle w:val="Compact"/>
        <w:numPr>
          <w:ilvl w:val="0"/>
          <w:numId w:val="1001"/>
        </w:numPr>
      </w:pPr>
      <w:r>
        <w:t xml:space="preserve">Antwortsprache der KI (Standard): [Sprache]</w:t>
      </w:r>
    </w:p>
    <w:p>
      <w:pPr>
        <w:pStyle w:val="Compact"/>
        <w:numPr>
          <w:ilvl w:val="0"/>
          <w:numId w:val="1001"/>
        </w:numPr>
      </w:pPr>
      <w:r>
        <w:t xml:space="preserve">Material, das ich nicht hochlade: [Liste]</w:t>
      </w:r>
    </w:p>
    <w:p>
      <w:pPr>
        <w:pStyle w:val="Compact"/>
        <w:numPr>
          <w:ilvl w:val="0"/>
          <w:numId w:val="1001"/>
        </w:numPr>
      </w:pPr>
      <w:r>
        <w:t xml:space="preserve">Seminararbeit oder Veröffentlichung? [nur Seminararbeit / veröffentlicht (Blog, Podcast, Social Media)]</w:t>
      </w:r>
    </w:p>
    <w:bookmarkEnd w:id="9"/>
    <w:bookmarkStart w:id="10" w:name="hinweise"/>
    <w:p>
      <w:pPr>
        <w:pStyle w:val="Heading2"/>
      </w:pPr>
      <w:r>
        <w:t xml:space="preserve">Hinweise</w:t>
      </w:r>
    </w:p>
    <w:p>
      <w:pPr>
        <w:pStyle w:val="Compact"/>
        <w:numPr>
          <w:ilvl w:val="0"/>
          <w:numId w:val="1002"/>
        </w:numPr>
      </w:pPr>
      <w:r>
        <w:t xml:space="preserve">Verwenden Sie den Modellnamen und die Version genau so, wie die Oberfläche sie anzeigt.</w:t>
      </w:r>
    </w:p>
    <w:p>
      <w:pPr>
        <w:pStyle w:val="Compact"/>
        <w:numPr>
          <w:ilvl w:val="0"/>
          <w:numId w:val="1002"/>
        </w:numPr>
      </w:pPr>
      <w:r>
        <w:t xml:space="preserve">Starten Sie eine neue Sitzung und prüfen Sie, was das Werkzeug aus früheren Sitzungen übernimmt (Speicher, Projekte, Chatverlauf). Halten Sie Abweichungen hier fest.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2026-10-07T12:36:45Z</dcterms:created>
  <dcterms:modified xsi:type="dcterms:W3CDTF">2026-10-07T12:36:45Z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