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1" w:name="environnement-de-travail-modèle"/>
    <w:p>
      <w:pPr>
        <w:pStyle w:val="Heading1"/>
      </w:pPr>
      <w:r>
        <w:t xml:space="preserve">Environnement de travail: modèle</w:t>
      </w:r>
    </w:p>
    <w:p>
      <w:pPr>
        <w:pStyle w:val="FirstParagraph"/>
      </w:pPr>
      <w:r>
        <w:t xml:space="preserve">Remplissez ceci</w:t>
      </w:r>
      <w:r>
        <w:t xml:space="preserve"> </w:t>
      </w:r>
      <w:r>
        <w:rPr>
          <w:b/>
          <w:bCs/>
        </w:rPr>
        <w:t xml:space="preserve">une seule fois</w:t>
      </w:r>
      <w:r>
        <w:t xml:space="preserve"> </w:t>
      </w:r>
      <w:r>
        <w:t xml:space="preserve">dans l’exercice «Préparer votre espace de travail» et mettez-le à jour en cas de changement (avec la date). Une ligne par outil.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794"/>
        <w:gridCol w:w="429"/>
        <w:gridCol w:w="936"/>
        <w:gridCol w:w="702"/>
        <w:gridCol w:w="858"/>
        <w:gridCol w:w="741"/>
        <w:gridCol w:w="1131"/>
        <w:gridCol w:w="858"/>
        <w:gridCol w:w="46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Outil et version</w:t>
            </w:r>
          </w:p>
        </w:tc>
        <w:tc>
          <w:tcPr/>
          <w:p>
            <w:pPr>
              <w:pStyle w:val="Compact"/>
            </w:pPr>
            <w:r>
              <w:t xml:space="preserve">Fournisseur</w:t>
            </w:r>
          </w:p>
        </w:tc>
        <w:tc>
          <w:tcPr/>
          <w:p>
            <w:pPr>
              <w:pStyle w:val="Compact"/>
            </w:pPr>
            <w:r>
              <w:t xml:space="preserve">Compte</w:t>
            </w:r>
          </w:p>
        </w:tc>
        <w:tc>
          <w:tcPr/>
          <w:p>
            <w:pPr>
              <w:pStyle w:val="Compact"/>
            </w:pPr>
            <w:r>
              <w:t xml:space="preserve">Formule</w:t>
            </w:r>
          </w:p>
        </w:tc>
        <w:tc>
          <w:tcPr/>
          <w:p>
            <w:pPr>
              <w:pStyle w:val="Compact"/>
            </w:pPr>
            <w:r>
              <w:t xml:space="preserve">Recherche web</w:t>
            </w:r>
          </w:p>
        </w:tc>
        <w:tc>
          <w:tcPr/>
          <w:p>
            <w:pPr>
              <w:pStyle w:val="Compact"/>
            </w:pPr>
            <w:r>
              <w:t xml:space="preserve">Lecture de fichiers</w:t>
            </w:r>
          </w:p>
        </w:tc>
        <w:tc>
          <w:tcPr/>
          <w:p>
            <w:pPr>
              <w:pStyle w:val="Compact"/>
            </w:pPr>
            <w:r>
              <w:t xml:space="preserve">Mode de réflexion</w:t>
            </w:r>
          </w:p>
        </w:tc>
        <w:tc>
          <w:tcPr/>
          <w:p>
            <w:pPr>
              <w:pStyle w:val="Compact"/>
            </w:pPr>
            <w:r>
              <w:t xml:space="preserve">Mémoire et historique</w:t>
            </w:r>
          </w:p>
        </w:tc>
        <w:tc>
          <w:tcPr/>
          <w:p>
            <w:pPr>
              <w:pStyle w:val="Compact"/>
            </w:pPr>
            <w:r>
              <w:t xml:space="preserve">Date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[nom, version comme affichée dans l’interface]</w:t>
            </w:r>
          </w:p>
        </w:tc>
        <w:tc>
          <w:tcPr/>
          <w:p>
            <w:pPr>
              <w:pStyle w:val="Compact"/>
            </w:pPr>
            <w:r>
              <w:t xml:space="preserve">[nom]</w:t>
            </w:r>
          </w:p>
        </w:tc>
        <w:tc>
          <w:tcPr/>
          <w:p>
            <w:pPr>
              <w:pStyle w:val="Compact"/>
            </w:pPr>
            <w:r>
              <w:t xml:space="preserve">[institutionnel / privé]</w:t>
            </w:r>
          </w:p>
        </w:tc>
        <w:tc>
          <w:tcPr/>
          <w:p>
            <w:pPr>
              <w:pStyle w:val="Compact"/>
            </w:pPr>
            <w:r>
              <w:t xml:space="preserve">[gratuit / payant]</w:t>
            </w:r>
          </w:p>
        </w:tc>
        <w:tc>
          <w:tcPr/>
          <w:p>
            <w:pPr>
              <w:pStyle w:val="Compact"/>
            </w:pPr>
            <w:r>
              <w:t xml:space="preserve">[activée / désactivée]</w:t>
            </w:r>
          </w:p>
        </w:tc>
        <w:tc>
          <w:tcPr/>
          <w:p>
            <w:pPr>
              <w:pStyle w:val="Compact"/>
            </w:pPr>
            <w:r>
              <w:t xml:space="preserve">[oui / non]</w:t>
            </w:r>
          </w:p>
        </w:tc>
        <w:tc>
          <w:tcPr/>
          <w:p>
            <w:pPr>
              <w:pStyle w:val="Compact"/>
            </w:pPr>
            <w:r>
              <w:t xml:space="preserve">[activé / désactivé / absent]</w:t>
            </w:r>
          </w:p>
        </w:tc>
        <w:tc>
          <w:tcPr/>
          <w:p>
            <w:pPr>
              <w:pStyle w:val="Compact"/>
            </w:pPr>
            <w:r>
              <w:t xml:space="preserve">[activés / désactivés]</w:t>
            </w:r>
          </w:p>
        </w:tc>
        <w:tc>
          <w:tcPr/>
          <w:p>
            <w:pPr>
              <w:pStyle w:val="Compact"/>
            </w:pPr>
            <w:r>
              <w:t xml:space="preserve">[AAAA-MM-JJ]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bookmarkStart w:id="9" w:name="règles-et-décisions"/>
    <w:p>
      <w:pPr>
        <w:pStyle w:val="Heading2"/>
      </w:pPr>
      <w:r>
        <w:t xml:space="preserve">Règles et décisions</w:t>
      </w:r>
    </w:p>
    <w:p>
      <w:pPr>
        <w:pStyle w:val="Compact"/>
        <w:numPr>
          <w:ilvl w:val="0"/>
          <w:numId w:val="1001"/>
        </w:numPr>
      </w:pPr>
      <w:r>
        <w:t xml:space="preserve">Règles de mon université sur l’IA et la protection des données: [lien ou «introuvable, demandé le …»]</w:t>
      </w:r>
    </w:p>
    <w:p>
      <w:pPr>
        <w:pStyle w:val="Compact"/>
        <w:numPr>
          <w:ilvl w:val="0"/>
          <w:numId w:val="1001"/>
        </w:numPr>
      </w:pPr>
      <w:r>
        <w:t xml:space="preserve">Langue de réponse de l’IA par défaut: [langue]</w:t>
      </w:r>
    </w:p>
    <w:p>
      <w:pPr>
        <w:pStyle w:val="Compact"/>
        <w:numPr>
          <w:ilvl w:val="0"/>
          <w:numId w:val="1001"/>
        </w:numPr>
      </w:pPr>
      <w:r>
        <w:t xml:space="preserve">Matériel que je ne téléverse pas: [liste]</w:t>
      </w:r>
    </w:p>
    <w:p>
      <w:pPr>
        <w:pStyle w:val="Compact"/>
        <w:numPr>
          <w:ilvl w:val="0"/>
          <w:numId w:val="1001"/>
        </w:numPr>
      </w:pPr>
      <w:r>
        <w:t xml:space="preserve">Travail de séminaire ou publication? [travail de séminaire seulement / publié (blog, podcast, réseaux sociaux)]</w:t>
      </w:r>
    </w:p>
    <w:bookmarkEnd w:id="9"/>
    <w:bookmarkStart w:id="10" w:name="remarques"/>
    <w:p>
      <w:pPr>
        <w:pStyle w:val="Heading2"/>
      </w:pPr>
      <w:r>
        <w:t xml:space="preserve">Remarques</w:t>
      </w:r>
    </w:p>
    <w:p>
      <w:pPr>
        <w:pStyle w:val="Compact"/>
        <w:numPr>
          <w:ilvl w:val="0"/>
          <w:numId w:val="1002"/>
        </w:numPr>
      </w:pPr>
      <w:r>
        <w:t xml:space="preserve">Utilisez le nom exact du modèle et la version tels que l’interface les affiche.</w:t>
      </w:r>
    </w:p>
    <w:p>
      <w:pPr>
        <w:pStyle w:val="Compact"/>
        <w:numPr>
          <w:ilvl w:val="0"/>
          <w:numId w:val="1002"/>
        </w:numPr>
      </w:pPr>
      <w:r>
        <w:t xml:space="preserve">Démarrez une nouvelle session et vérifiez ce que l’outil reprend des sessions précédentes (mémoire, projets, historique). Notez ici les écarts.</w:t>
      </w:r>
    </w:p>
    <w:bookmarkEnd w:id="10"/>
    <w:bookmarkEnd w:id="1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2026-10-07T12:36:48Z</dcterms:created>
  <dcterms:modified xsi:type="dcterms:W3CDTF">2026-10-07T12:36:48Z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