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journal-dia-modèle-dentrée"/>
    <w:p>
      <w:pPr>
        <w:pStyle w:val="Heading1"/>
      </w:pPr>
      <w:r>
        <w:t xml:space="preserve">Journal d’IA: modèle d’entrée</w:t>
      </w:r>
    </w:p>
    <w:p>
      <w:pPr>
        <w:pStyle w:val="FirstParagraph"/>
      </w:pPr>
      <w:r>
        <w:t xml:space="preserve">Copiez le tableau pour chaque entrée et remplissez-le juste après l’étape de travail. Tenez</w:t>
      </w:r>
      <w:r>
        <w:t xml:space="preserve"> </w:t>
      </w:r>
      <w:r>
        <w:rPr>
          <w:b/>
          <w:bCs/>
        </w:rPr>
        <w:t xml:space="preserve">un seul fichier pour tout le cours</w:t>
      </w:r>
      <w:r>
        <w:t xml:space="preserve"> </w:t>
      </w:r>
      <w:r>
        <w:t xml:space="preserve">et une section par exercice (par exemple</w:t>
      </w:r>
      <w:r>
        <w:t xml:space="preserve"> </w:t>
      </w:r>
      <w:r>
        <w:rPr>
          <w:rStyle w:val="VerbatimChar"/>
        </w:rPr>
        <w:t xml:space="preserve">## Critique des sources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Prompt:</w:t>
      </w:r>
      <w:r>
        <w:t xml:space="preserve"> </w:t>
      </w:r>
      <w:r>
        <w:t xml:space="preserve">mot pour mot. S’il est très long, copiez l’extrait central et abrégez avec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Réponse:</w:t>
      </w:r>
      <w:r>
        <w:t xml:space="preserve"> </w:t>
      </w:r>
      <w:r>
        <w:t xml:space="preserve">deux à trois phrases. Ne copiez un passage mot pour mot que si vous le reprenez dans votre texte ou si vous voulez prouver une erreur.</w:t>
      </w:r>
    </w:p>
    <w:p>
      <w:pPr>
        <w:pStyle w:val="Compact"/>
        <w:numPr>
          <w:ilvl w:val="0"/>
          <w:numId w:val="1001"/>
        </w:numPr>
      </w:pPr>
      <w:r>
        <w:t xml:space="preserve">Les champs de «Outil» à «Fichier téléversé» restent identiques au sein d’une session. Remplissez-les une fois par session, et non par entrée, si rien ne change.</w:t>
      </w:r>
    </w:p>
    <w:bookmarkStart w:id="9" w:name="entrée"/>
    <w:p>
      <w:pPr>
        <w:pStyle w:val="Heading2"/>
      </w:pPr>
      <w:r>
        <w:t xml:space="preserve">Entrée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Étape (exercice, numéro)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Outil (nom et version)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Fournisseur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Type de compte (gratuit/payant)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Recherche web (activée/désactivée)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 de réflexion (activé/désactivé, si disponible)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Fichier téléversé (oui/non)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Objectif (1 phrase)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Matériel (entrée)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Prompt (mot pour mot)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Réponse (version courte)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Étapes de vérification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Décision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Raison (1 phrase)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entrée-2"/>
    <w:p>
      <w:pPr>
        <w:pStyle w:val="Heading2"/>
      </w:pPr>
      <w:r>
        <w:t xml:space="preserve">Entrée 2</w:t>
      </w:r>
    </w:p>
    <w:p>
      <w:pPr>
        <w:pStyle w:val="FirstParagraph"/>
      </w:pPr>
      <w:r>
        <w:t xml:space="preserve">(Copiez de nouveau le tableau.)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L’exercice «Préparer votre espace de travail» explique le journal d’IA en détail.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2026-10-07T12:36:49Z</dcterms:created>
  <dcterms:modified xsi:type="dcterms:W3CDTF">2026-10-07T12:36:49Z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