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Prosedur Bank BRI</w:t>
      </w:r>
    </w:p>
    <w:p>
      <w:r>
        <w:t>Dokumen resmi terkait Prosedur_Bank_BRI. Petani wajib memenuhi syarat administratif dasar dan telah menjalankan usaha minimal 6 bulan.</w:t>
      </w:r>
    </w:p>
    <w:p>
      <w:r>
        <w:t>Plafon dan bunga mengikuti ketentuan bank penyalur yang berlaku.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