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9e7afbf7d4e466a53159bf2f20e3f468939875a"/>
    <w:p>
      <w:pPr>
        <w:pStyle w:val="Heading1"/>
      </w:pPr>
      <w:r>
        <w:t xml:space="preserve">Lineage transfers, identity does not: a cross-species benchmark of virtual-cell foundation models on temporal extrapolation in embryonic development</w:t>
      </w:r>
    </w:p>
    <w:p>
      <w:pPr>
        <w:pStyle w:val="FirstParagraph"/>
      </w:pPr>
      <w:r>
        <w:rPr>
          <w:b/>
          <w:bCs/>
        </w:rPr>
        <w:t xml:space="preserve">Article type:</w:t>
      </w:r>
      <w:r>
        <w:t xml:space="preserve"> </w:t>
      </w:r>
      <w:r>
        <w:t xml:space="preserve">Original Paper</w:t>
      </w:r>
    </w:p>
    <w:p>
      <w:pPr>
        <w:pStyle w:val="BodyText"/>
      </w:pPr>
      <w:r>
        <w:t xml:space="preserve">Running head: Virtual-cell benchmark on development</w:t>
      </w:r>
    </w:p>
    <w:p>
      <w:pPr>
        <w:pStyle w:val="BodyText"/>
      </w:pPr>
      <w:r>
        <w:t xml:space="preserve">Authors and affiliations: to be completed in the journal submission system (see</w:t>
      </w:r>
      <w:r>
        <w:t xml:space="preserve"> </w:t>
      </w:r>
      <w:r>
        <w:rPr>
          <w:rStyle w:val="VerbatimChar"/>
        </w:rPr>
        <w:t xml:space="preserve">paper/submission_checklist.md</w:t>
      </w:r>
      <w:r>
        <w:t xml:space="preserve">).</w:t>
      </w:r>
    </w:p>
    <w:p>
      <w:pPr>
        <w:pStyle w:val="BodyText"/>
      </w:pPr>
      <w:r>
        <w:rPr>
          <w:b/>
          <w:bCs/>
        </w:rPr>
        <w:t xml:space="preserve">Correspondence:</w:t>
      </w:r>
      <w:r>
        <w:t xml:space="preserve"> </w:t>
      </w:r>
      <w:r>
        <w:t xml:space="preserve">[corresponding author name and email], [institution].</w:t>
      </w:r>
    </w:p>
    <w:bookmarkStart w:id="9" w:name="abstract"/>
    <w:p>
      <w:pPr>
        <w:pStyle w:val="Heading2"/>
      </w:pPr>
      <w:r>
        <w:t xml:space="preserve">Abstract</w:t>
      </w:r>
    </w:p>
    <w:p>
      <w:pPr>
        <w:pStyle w:val="FirstParagraph"/>
      </w:pPr>
      <w:r>
        <w:rPr>
          <w:b/>
          <w:bCs/>
        </w:rPr>
        <w:t xml:space="preserve">Motivation:</w:t>
      </w:r>
      <w:r>
        <w:t xml:space="preserve"> </w:t>
      </w:r>
      <w:r>
        <w:t xml:space="preserve">Virtual-cell foundation models promise general cell-state representation, yet standard evaluations largely re-measure states the model has already seen. Embryonic development is a stricter test: along a single time axis, cells both progress and enter genuinely novel states.</w:t>
      </w:r>
    </w:p>
    <w:p>
      <w:pPr>
        <w:pStyle w:val="BodyText"/>
      </w:pPr>
      <w:r>
        <w:rPr>
          <w:b/>
          <w:bCs/>
        </w:rPr>
        <w:t xml:space="preserve">Results:</w:t>
      </w:r>
      <w:r>
        <w:t xml:space="preserve"> </w:t>
      </w:r>
      <w:r>
        <w:t xml:space="preserve">We benchmark seven methods spanning three generations (PCA-50, Harmony, scVI, STATE SE-600M, UCE, Geneformer V1-10M and TranscriptFormer) on two public embryonic atlases under one time-split protocol: identical kNN reference mapping, majority baselines and bootstraps over fish or embryos. Coarse lineage identity transfers in every method (0.50–0.86 zebrafish, 0.64–0.69 mouse, versus 0.352 and 0.266 baselines), led on zebrafish by natively pretrained TranscriptFormer (0.864; gene-set control 0.869), an advantage that vanishes on mouse and under a linear probe. Fine-grained identity fails in every method and species (0.040–0.073 versus 0.100 and 0.117) despite 0.63–0.98 in-distribution retrieval, and novel states are silently absorbed (AUROC 0.60–0.66). A random 80/20 split inflates cluster accuracy 9–21-fold, quantifying what conventional same-distribution evaluation overstates.</w:t>
      </w:r>
    </w:p>
    <w:p>
      <w:pPr>
        <w:pStyle w:val="BodyText"/>
      </w:pPr>
      <w:r>
        <w:rPr>
          <w:b/>
          <w:bCs/>
        </w:rPr>
        <w:t xml:space="preserve">Availability and implementation:</w:t>
      </w:r>
      <w:r>
        <w:t xml:space="preserve"> </w:t>
      </w:r>
      <w:r>
        <w:t xml:space="preserve">Implemented in Python (PyTorch). Code, splits, embeddings, results and provenance are freely available at https://github.com/[account]/[repository]; a public DOI will be added at submission.</w:t>
      </w:r>
    </w:p>
    <w:p>
      <w:pPr>
        <w:pStyle w:val="BodyText"/>
      </w:pPr>
      <w:r>
        <w:rPr>
          <w:b/>
          <w:bCs/>
        </w:rPr>
        <w:t xml:space="preserve">Contact:</w:t>
      </w:r>
      <w:r>
        <w:t xml:space="preserve"> </w:t>
      </w:r>
      <w:r>
        <w:t xml:space="preserve">[corresponding author email]</w:t>
      </w:r>
    </w:p>
    <w:p>
      <w:pPr>
        <w:pStyle w:val="BodyText"/>
      </w:pPr>
      <w:r>
        <w:rPr>
          <w:b/>
          <w:bCs/>
        </w:rPr>
        <w:t xml:space="preserve">Supplementary information:</w:t>
      </w:r>
      <w:r>
        <w:t xml:space="preserve"> </w:t>
      </w:r>
      <w:r>
        <w:t xml:space="preserve">Supplementary data are available at Bioinformatics online.</w:t>
      </w:r>
    </w:p>
    <w:bookmarkEnd w:id="9"/>
    <w:bookmarkStart w:id="10" w:name="introduction"/>
    <w:p>
      <w:pPr>
        <w:pStyle w:val="Heading2"/>
      </w:pPr>
      <w:r>
        <w:t xml:space="preserve">1 Introduction</w:t>
      </w:r>
    </w:p>
    <w:p>
      <w:pPr>
        <w:pStyle w:val="FirstParagraph"/>
      </w:pPr>
      <w:r>
        <w:t xml:space="preserve">A long-standing ambition of computational biology is the</w:t>
      </w:r>
      <w:r>
        <w:t xml:space="preserve"> </w:t>
      </w:r>
      <w:r>
        <w:t xml:space="preserve">“virtual cell”</w:t>
      </w:r>
      <w:r>
        <w:t xml:space="preserve">: a learnable model that represents cell state generally enough to predict how cells respond to perturbation, differentiation signals, or developmental time (Bunne et al., 2024). Single-cell transcriptomics has turned this ambition into an engineering programme, now increasingly assisted by agentic systems that automate the surrounding analysis (Huang et al., 2025). A first generation of foundation models, Geneformer (Theodoris et al., 2023), scGPT (Cui et al., 2024) and the cross-species GeneCompass (Yang et al., 2024), showed that transformers pretrained on tens of millions of profiles learn transferable gene-level representations. A second generation has made the cell-state ambition explicit: Universal Cell Embeddings place 36 million cells from eight species into one biological latent space (Rosen et al., 2026), STATE (SE-600M) predicts a protein-anchored cell-state vector directly from a transcriptome (Arc Institute, 2025), and TranscriptFormer learns across twelve metazoan species and 112 million cells (TranscriptFormer, 2026). These models are increasingly presented as general-purpose instruments for interpreting cells they have never seen.</w:t>
      </w:r>
    </w:p>
    <w:p>
      <w:pPr>
        <w:pStyle w:val="BodyText"/>
      </w:pPr>
      <w:r>
        <w:t xml:space="preserve">The evaluations supporting that presentation concentrate on two regimes. The first is cross-dataset annotation: a model trained (or pretrained) on one set of tissues and studies is asked to label cells from another, and systematic analyses now probe how far such zero-shot transfer goes, how it scales with pretraining corpus size, and how much of the measured performance survives simpler read-outs (DenAdel et al., 2026; Ahlmann-Eltze and Anders, 2025). The second is perturbation-response prediction in cell lines. Both regimes share a structural property: the query states are, in the main, re-measurements of states the model has effectively seen. They test interpolation within an observed manifold, a weaker demand than anticipating states beyond it.</w:t>
      </w:r>
    </w:p>
    <w:p>
      <w:pPr>
        <w:pStyle w:val="BodyText"/>
      </w:pPr>
      <w:r>
        <w:t xml:space="preserve">Embryogenesis supplies the stricter test. A vertebrate embryo traverses its transcriptional state space along a single strong axis, developmental time, and does so in part by entering states that did not exist at earlier stages: blood, neural crest derivatives, and organs are new configurations, not re-weightings of old ones. A time-split evaluation therefore probes two capacities simultaneously: extrapolation along a smooth trajectory, and accommodation of genuinely novel states. Both are exactly what a virtual cell needs if it is to be used prospectively (to predict, for example, what a progenitor will become), and both are invisible to the random cell-split evaluation that remains the field default, because randomization places every biological state on both sides of the split. Two public atlases make this test concrete: Zebrahub profiles zebrafish embryogenesis from 10 hours post-fertilization (hpf) to 10 days post-fertilization (dpf) across 40 individually barcoded fish (Lange et al., 2024), and the mouse gastrulation atlas covers E6.5–E8.5 with 38 annotated cell types (Pijuan-Sala et al., 2019).</w:t>
      </w:r>
    </w:p>
    <w:p>
      <w:pPr>
        <w:pStyle w:val="BodyText"/>
      </w:pPr>
      <w:r>
        <w:t xml:space="preserve">Here we ask the direct question: do frontier virtual-cell models know development in the forward direction? We benchmark seven embedding methods spanning three generations of single-cell representation learning (PCA-50 and Harmony as classical baselines; scVI as the deep-generative representative, Lopez et al., 2018; and the foundation models STATE SE-600M, UCE, Geneformer V1-10M and TranscriptFormer tf-metazoa) on the two atlases under a unified protocol: identical cells, controlled gene inputs, one kNN reference-mapping probe, majority baselines, and bootstrap uncertainty over fish or embryos. Because TranscriptFormer was pretrained on both species natively while STATE and Geneformer are human-centric, a gene-set control additionally separates species-appropriate pretraining from input-gene count. The protocol includes the adaptation options a practitioner would actually consider (transductive integration, scArches surgery, and fully unfrozen query training; Lotfollahi et al., 2022) and closes with robustness controls: k-sensitivity, a linear-probe replication, shifted training windows with an interpolation control, and a random-split ceiling.</w:t>
      </w:r>
    </w:p>
    <w:p>
      <w:pPr>
        <w:pStyle w:val="BodyText"/>
      </w:pPr>
      <w:r>
        <w:t xml:space="preserve">The verdict is layered. Coarse lineage identity transfers across developmental time in every model (0.497–0.864 on zebrafish, 0.638–0.687 on mouse, against majority baselines of 0.352 and 0.266); the zebrafish lead of natively pretrained TranscriptFormer (0.864, 95% CI 0.839–0.891; gene-set control 0.869) is decisive but disappears on mouse and under a linear probe. Fine-grained cluster identity does not transfer in any model, in either species (0.040–0.069 versus 0.100 on zebrafish; 0.062–0.073 versus 0.117 on mouse), although the same embeddings retrieve that identity at 0.63–0.98 under in-distribution controls: the information is represented but not extrapolated. Models place never-seen late states into the correct lineage (up to 0.80) while barely flagging them as novel (AUROC 0.62–0.66 on zebrafish; 0.602–0.619 on mouse): placement without detection. And the standard adaptation route is quieter than it looks: with scvi-tools defaults, scArches surgery returns embeddings bit-identical to the frozen encoder despite training 41% of its parameters, and full unfreezing adds only +4.1 percentage points of lineage accuracy without rescuing identity. Section 2 specifies the protocol, Section 3 reports these results with their controls, and Section 4 develops their implications for users and builders of virtual cells. The complete benchmark, from splits and gene mappings through embedding pipelines (including a deterministic, numerically verified TranscriptFormer inference path), evaluation code, and provenance metadata, is released as a reusable harness for developmental state prediction.</w:t>
      </w:r>
    </w:p>
    <w:bookmarkEnd w:id="10"/>
    <w:bookmarkStart w:id="16" w:name="materials-and-methods"/>
    <w:p>
      <w:pPr>
        <w:pStyle w:val="Heading2"/>
      </w:pPr>
      <w:r>
        <w:t xml:space="preserve">2 Materials and methods</w:t>
      </w:r>
    </w:p>
    <w:bookmarkStart w:id="11" w:name="datasets-and-time-splits"/>
    <w:p>
      <w:pPr>
        <w:pStyle w:val="Heading3"/>
      </w:pPr>
      <w:r>
        <w:t xml:space="preserve">2.1 Datasets and time splits</w:t>
      </w:r>
    </w:p>
    <w:p>
      <w:pPr>
        <w:pStyle w:val="FirstParagraph"/>
      </w:pPr>
      <w:r>
        <w:rPr>
          <w:b/>
          <w:bCs/>
        </w:rPr>
        <w:t xml:space="preserve">Zebrahub (zebrafish).</w:t>
      </w:r>
      <w:r>
        <w:t xml:space="preserve"> </w:t>
      </w:r>
      <w:r>
        <w:t xml:space="preserve">We analysed the released Zebrahub atlas (Lange et al., 2024;</w:t>
      </w:r>
      <w:r>
        <w:t xml:space="preserve"> </w:t>
      </w:r>
      <w:r>
        <w:rPr>
          <w:rStyle w:val="VerbatimChar"/>
        </w:rPr>
        <w:t xml:space="preserve">zf_atlas_full_v4_release.h5ad</w:t>
      </w:r>
      <w:r>
        <w:t xml:space="preserve">; 120,444 cells × 32,060 genes), which profiles whole zebrafish embryos across ten developmental stages from 10 hours post-fertilization (hpf) to 10 days post-fertilization (dpf), with 40 individually barcoded fish. Cells carry the two annotation sets used here: anatomical lineage labels (10 classes) and per-stage cluster labels (51 classes, of which 47 span at least two stages). Genes detected in fewer than ten cells were removed. The temporal split designates train = 10, 12, 14 and 16 hpf (18,109 cells from 16 fish) and test = 19 hpf–10 dpf (102,335 cells from 24 fish); no fish contributes cells to both splits. Twenty-two of the 51 cluster labels are absent from the training split and annotate 9,853 test cells (9.6%), hereafter</w:t>
      </w:r>
      <w:r>
        <w:t xml:space="preserve"> </w:t>
      </w:r>
      <w:r>
        <w:t xml:space="preserve">“novel clusters”</w:t>
      </w:r>
      <w:r>
        <w:t xml:space="preserve">; they concentrate at 2–10 dpf with small contingents at 19 and 24 hpf. The 4,000 most variable genes (Seurat v3 variance-stabilizing selection as implemented in scanpy (Wolf et al., 2018); Stuart et al., 2019) were selected on the training split only, so that no test-set expression informs gene choice.</w:t>
      </w:r>
    </w:p>
    <w:p>
      <w:pPr>
        <w:pStyle w:val="BodyText"/>
      </w:pPr>
      <w:r>
        <w:rPr>
          <w:b/>
          <w:bCs/>
        </w:rPr>
        <w:t xml:space="preserve">Mouse gastrulation (E-MTAB-6967).</w:t>
      </w:r>
      <w:r>
        <w:t xml:space="preserve"> </w:t>
      </w:r>
      <w:r>
        <w:t xml:space="preserve">From the released mouse gastrulation atlas (Pijuan-Sala et al., 2019; ArrayExpress accession E-MTAB-6967; raw counts, 139,331 cells × 29,452 genes) we removed cells annotated as doublets or stripped nuclei, cells without a cell-type label, and cells of the mixed-gastrulation stage, leaving 108,857 cells. The 38 original cell-type labels were consolidated into eight coarse lineages (epiblast, primitive streak, mesoderm, extra-embryonic mesoderm, endoderm, ectoderm, haemato-endothelial, germline); fine-grained identity is the original within-stage clustering (cluster.stage). The split mirrors the zebrafish design: train = E6.5, E6.75, E7.0 (20,308 cells) → test = E7.25–E8.5 (88,549 cells). Eleven of 22 test cluster labels are novel (26,765 cells); 61,784 test cells belong to the 11 shared labels. The 4,000 HVGs were selected on the training split only, and all mouse models consume native ENSMUSG gene identifiers.</w:t>
      </w:r>
    </w:p>
    <w:bookmarkEnd w:id="11"/>
    <w:bookmarkStart w:id="12" w:name="gene-harmonization"/>
    <w:p>
      <w:pPr>
        <w:pStyle w:val="Heading3"/>
      </w:pPr>
      <w:r>
        <w:t xml:space="preserve">2.2 Gene harmonization</w:t>
      </w:r>
    </w:p>
    <w:p>
      <w:pPr>
        <w:pStyle w:val="FirstParagraph"/>
      </w:pPr>
      <w:r>
        <w:t xml:space="preserve">For the zebrafish benchmark, one-to-one zebrafish–human ortholog candidates were retrieved from Ensembl BioMart and intersected with the genes surviving filtering, giving a unified matrix of</w:t>
      </w:r>
      <w:r>
        <w:t xml:space="preserve"> </w:t>
      </w:r>
      <w:r>
        <w:rPr>
          <w:b/>
          <w:bCs/>
        </w:rPr>
        <w:t xml:space="preserve">2,581 human-ortholog genes</w:t>
      </w:r>
      <w:r>
        <w:t xml:space="preserve">. PCA, Harmony, and scVI consume this matrix directly (human symbols). STATE receives the same ortholog-derived symbols restricted to the 2,058 genes in its vocabulary; its output is the 2,058-dimensional predicted state vector, so all STATE embeddings live in a model-intrinsic space of fixed dimension. UCE receives the same symbols restricted to the 2,468 genes present in its protein-embedding vocabulary. Geneformer requires Ensembl identifiers: gene symbols were mapped to 2,454 human Ensembl IDs (95% of 2,581) through the mygene.info API using a saved mapping cache, so the tokenizer consumes a deterministic, re-runnable mapping. TranscriptFormer tf-metazoa was pretrained across twelve metazoan species including zebrafish and recognizes native identifiers; it instead receives</w:t>
      </w:r>
      <w:r>
        <w:t xml:space="preserve"> </w:t>
      </w:r>
      <w:r>
        <w:rPr>
          <w:b/>
          <w:bCs/>
        </w:rPr>
        <w:t xml:space="preserve">native ENSDARG identifiers (3,816 genes)</w:t>
      </w:r>
      <w:r>
        <w:t xml:space="preserve"> </w:t>
      </w:r>
      <w:r>
        <w:t xml:space="preserve">from the same 4,000-HVG panel. To decouple input-gene count from model identity, we additionally re-embedded TranscriptFormer on the</w:t>
      </w:r>
      <w:r>
        <w:t xml:space="preserve"> </w:t>
      </w:r>
      <w:r>
        <w:rPr>
          <w:b/>
          <w:bCs/>
        </w:rPr>
        <w:t xml:space="preserve">2,994 native genes recoverable from the ortholog-derived set</w:t>
      </w:r>
      <w:r>
        <w:t xml:space="preserve"> </w:t>
      </w:r>
      <w:r>
        <w:t xml:space="preserve">(gene-set control). For mouse, all models use native ENSMUSG identifiers from the 4,000-HVG panel (3,687 of them in the TranscriptFormer vocabulary), except UCE, which requires gene symbols: ENSMUSG identifiers were mapped to MGI symbols (3,355 of 4,000; 3,268 retained by the vocabulary) through a cached mygene.info lookup.</w:t>
      </w:r>
    </w:p>
    <w:p>
      <w:pPr>
        <w:pStyle w:val="BodyText"/>
      </w:pPr>
      <w:r>
        <w:t xml:space="preserve">The gene-set choice is applied identically to every model and its influence is quantified explicitly. Moving from the original 4,000-HVG matrix to the 2,581-gene unified matrix changed shared-cluster accuracy by less than 0.5 pp for every reported model, and lineage accuracy by +4.2 pp (PCA), −1.4 pp (Harmony), −0.4 pp (scVI) and ≈0 pp (STATE) (result archive</w:t>
      </w:r>
      <w:r>
        <w:t xml:space="preserve"> </w:t>
      </w:r>
      <w:r>
        <w:rPr>
          <w:rStyle w:val="VerbatimChar"/>
        </w:rPr>
        <w:t xml:space="preserve">t1_unified_eval.json</w:t>
      </w:r>
      <w:r>
        <w:t xml:space="preserve">, key</w:t>
      </w:r>
      <w:r>
        <w:t xml:space="preserve"> </w:t>
      </w:r>
      <w:r>
        <w:rPr>
          <w:rStyle w:val="VerbatimChar"/>
        </w:rPr>
        <w:t xml:space="preserve">vs_old_4000gene</w:t>
      </w:r>
      <w:r>
        <w:t xml:space="preserve">). Gene-set selection therefore modulates some coarse-grained probes but does not create or remove the central fine-grained failure, which is bounded by the majority baseline under both gene sets.</w:t>
      </w:r>
    </w:p>
    <w:bookmarkEnd w:id="12"/>
    <w:bookmarkStart w:id="13" w:name="models-and-inference-protocol"/>
    <w:p>
      <w:pPr>
        <w:pStyle w:val="Heading3"/>
      </w:pPr>
      <w:r>
        <w:t xml:space="preserve">2.3 Models and inference protocol</w:t>
      </w:r>
    </w:p>
    <w:p>
      <w:pPr>
        <w:pStyle w:val="FirstParagraph"/>
      </w:pPr>
      <w:r>
        <w:t xml:space="preserve">All seven methods are used as frozen, reference-based embedding machines (the operationally realistic setting: a reference atlas exists and query embryos arrive later), and every method sees identical training cells. Model weights are never updated on test data except in the explicitly labelled adaptation arms described below.</w:t>
      </w:r>
    </w:p>
    <w:p>
      <w:pPr>
        <w:pStyle w:val="BodyText"/>
      </w:pPr>
      <w:r>
        <w:rPr>
          <w:b/>
          <w:bCs/>
        </w:rPr>
        <w:t xml:space="preserve">Classical baselines.</w:t>
      </w:r>
      <w:r>
        <w:t xml:space="preserve"> </w:t>
      </w:r>
      <w:r>
        <w:t xml:space="preserve">PCA-50 was fitted on training counts (total-count normalized to 10,000, log1p-transformed) and applied to test cells without refitting. Harmony (Korsunsky et al., 2019) is inherently transductive: it integrates train and test jointly on the PCA embedding with fish as the batch covariate; this is the standard, and most favourable, usage, because test-cell geometry informs the correction.</w:t>
      </w:r>
    </w:p>
    <w:p>
      <w:pPr>
        <w:pStyle w:val="BodyText"/>
      </w:pPr>
      <w:r>
        <w:rPr>
          <w:b/>
          <w:bCs/>
        </w:rPr>
        <w:t xml:space="preserve">scVI and adaptation arms.</w:t>
      </w:r>
      <w:r>
        <w:t xml:space="preserve"> </w:t>
      </w:r>
      <w:r>
        <w:t xml:space="preserve">scVI (Lopez et al., 2018), through scvi-tools (Gayoso et al., 2022), was trained on the training split (n_latent = 30, n_layers = 2, negative-binomial likelihood, fish as batch covariate; at most 60 epochs with early stopping, validation every five epochs) under three random seeds {42, 0, 1}; single-seed results report seed 42 and seed-summarized results report mean ± SD. Test cells enter through three protocols: (i)</w:t>
      </w:r>
      <w:r>
        <w:t xml:space="preserve"> </w:t>
      </w:r>
      <w:r>
        <w:rPr>
          <w:i/>
          <w:iCs/>
        </w:rPr>
        <w:t xml:space="preserve">frozen forward</w:t>
      </w:r>
      <w:r>
        <w:t xml:space="preserve">, in which unseen test fish are mapped to the largest training batch category, a bookkeeping choice that leaves the encoder untouched; (ii)</w:t>
      </w:r>
      <w:r>
        <w:t xml:space="preserve"> </w:t>
      </w:r>
      <w:r>
        <w:rPr>
          <w:i/>
          <w:iCs/>
        </w:rPr>
        <w:t xml:space="preserve">default scArches surgery</w:t>
      </w:r>
      <w:r>
        <w:t xml:space="preserve"> </w:t>
      </w:r>
      <w:r>
        <w:t xml:space="preserve">(</w:t>
      </w:r>
      <w:r>
        <w:rPr>
          <w:rStyle w:val="VerbatimChar"/>
        </w:rPr>
        <w:t xml:space="preserve">load_query_data</w:t>
      </w:r>
      <w:r>
        <w:t xml:space="preserve">, 30 epochs, weight decay 0); and (iii)</w:t>
      </w:r>
      <w:r>
        <w:t xml:space="preserve"> </w:t>
      </w:r>
      <w:r>
        <w:rPr>
          <w:i/>
          <w:iCs/>
        </w:rPr>
        <w:t xml:space="preserve">fully unfrozen surgery</w:t>
      </w:r>
      <w:r>
        <w:t xml:space="preserve">, identical to (ii) except that the expression encoder, the decoder first layer and dropout are all trainable (</w:t>
      </w:r>
      <w:r>
        <w:rPr>
          <w:rStyle w:val="VerbatimChar"/>
        </w:rPr>
        <w:t xml:space="preserve">freeze_expression = freeze_decoder_first_layer = freeze_dropout = False</w:t>
      </w:r>
      <w:r>
        <w:t xml:space="preserve">). Arm (iii) is the strongest label-free adaptation considered; on mouse, scVI enters only through this arm, summarized over the same three seeds.</w:t>
      </w:r>
    </w:p>
    <w:p>
      <w:pPr>
        <w:pStyle w:val="BodyText"/>
      </w:pPr>
      <w:r>
        <w:rPr>
          <w:b/>
          <w:bCs/>
        </w:rPr>
        <w:t xml:space="preserve">Foundation models.</w:t>
      </w:r>
      <w:r>
        <w:t xml:space="preserve"> </w:t>
      </w:r>
      <w:r>
        <w:t xml:space="preserve">STATE SE-600M (Arc Institute) consumes raw counts of the 2,058 in-vocabulary orthologous genes and returns the model’s protein-anchored 2,058-dimensional state vector; inference used the released safetensors checkpoint with batch size 8 on a 16 GB GPU (compiled attention kernels disabled for platform portability). UCE (4-layer CXG checkpoint; Rosen et al., 2026) encodes each cell as a sentence of 1,024 genes sampled in proportion to expression, with chromosome tokens interleaved and ESM2 protein embeddings as the token vocabulary; we used the released implementation with its additional cell and gene filtering disabled (preserving the benchmark’s row alignment) and seeded the gene sampling (numpy seed 42) for reproducibility, giving the 1,280-dimensional cell embedding at ~15–21 ms/cell. Geneformer V1-10M (Theodoris et al., 2023) uses the official tokenizer (rank-value encoding; median 284 tokens per cell) and the frozen six-layer masked-language-model backbone; the cell embedding is the mean of the final hidden layer over the cell’s token positions, computed for all 120,444 cells in 455 s on one GPU. TranscriptFormer tf-metazoa (~1.2 × 10^9 parameters; fp32 checkpoint 8.6 GB) released no executable inference path for our platform (a single-batch dataloader memory fault, flex_attention compiled kernels requiring triton, and a training-loop teardown fault), so we reimplemented the embedding forward pass with standard PyTorch attention while preserving the released semantics: tanh softcap of 10 on attention logits, the log-count key/value bias, causal and padding masks, and the implementation’s post-LayerNorm residual convention. On CPU-executable probe batches the reimplementation matches the reference implementation with cosine similarity 1.000000; all zebrafish and mouse embeddings use this path. Cells are processed in 2,048-cell chunks sorted by non-zero count with per-batch trimming of all-padding gene columns, which is mathematically inert because padded positions are masked. The output embedding is the 2,048-dimensional final-layer representation.</w:t>
      </w:r>
    </w:p>
    <w:bookmarkEnd w:id="13"/>
    <w:bookmarkStart w:id="14" w:name="evaluation"/>
    <w:p>
      <w:pPr>
        <w:pStyle w:val="Heading3"/>
      </w:pPr>
      <w:r>
        <w:t xml:space="preserve">2.4 Evaluation</w:t>
      </w:r>
    </w:p>
    <w:p>
      <w:pPr>
        <w:pStyle w:val="FirstParagraph"/>
      </w:pPr>
      <w:r>
        <w:rPr>
          <w:b/>
          <w:bCs/>
        </w:rPr>
        <w:t xml:space="preserve">Reference-mapping probe.</w:t>
      </w:r>
      <w:r>
        <w:t xml:space="preserve"> </w:t>
      </w:r>
      <w:r>
        <w:t xml:space="preserve">Every embedding is scored by the same k-nearest-neighbour vote from the 18,109 (zebrafish) or 20,308 (mouse) training cells: cosine distance, distance-weighted votes, k = 15 (scikit-learn</w:t>
      </w:r>
      <w:r>
        <w:t xml:space="preserve"> </w:t>
      </w:r>
      <w:r>
        <w:rPr>
          <w:rStyle w:val="VerbatimChar"/>
        </w:rPr>
        <w:t xml:space="preserve">KNeighborsClassifier</w:t>
      </w:r>
      <w:r>
        <w:t xml:space="preserve">); k ∈ {5, 15, 30} sensitivity is reported in Supplementary Table S4. We report overall accuracy throughout, with balanced accuracy and macro-F1 in Supplementary Table S1; the three metrics agree on every ordering claim made below.</w:t>
      </w:r>
    </w:p>
    <w:p>
      <w:pPr>
        <w:pStyle w:val="BodyText"/>
      </w:pPr>
      <w:r>
        <w:rPr>
          <w:b/>
          <w:bCs/>
        </w:rPr>
        <w:t xml:space="preserve">Tasks.</w:t>
      </w:r>
      <w:r>
        <w:t xml:space="preserve"> </w:t>
      </w:r>
      <w:r>
        <w:t xml:space="preserve">(1)</w:t>
      </w:r>
      <w:r>
        <w:t xml:space="preserve"> </w:t>
      </w:r>
      <w:r>
        <w:rPr>
          <w:i/>
          <w:iCs/>
        </w:rPr>
        <w:t xml:space="preserve">Lineage accuracy</w:t>
      </w:r>
      <w:r>
        <w:t xml:space="preserve"> </w:t>
      </w:r>
      <w:r>
        <w:t xml:space="preserve">over all test cells (10 classes zebrafish, 8 mouse). (2)</w:t>
      </w:r>
      <w:r>
        <w:t xml:space="preserve"> </w:t>
      </w:r>
      <w:r>
        <w:rPr>
          <w:i/>
          <w:iCs/>
        </w:rPr>
        <w:t xml:space="preserve">Shared-cluster accuracy</w:t>
      </w:r>
      <w:r>
        <w:t xml:space="preserve">, the fine-grained identity task, restricted to test cells whose cluster label occurs in train (29 labels zebrafish, 11 mouse); the majority baseline assigns every such cell the training split’s most frequent cluster label, uses reference statistics only, and represents the accuracy of ignoring the model. (3)</w:t>
      </w:r>
      <w:r>
        <w:t xml:space="preserve"> </w:t>
      </w:r>
      <w:r>
        <w:rPr>
          <w:i/>
          <w:iCs/>
        </w:rPr>
        <w:t xml:space="preserve">Lineage placement on novel-cluster cells</w:t>
      </w:r>
      <w:r>
        <w:t xml:space="preserve">, restricted to test cells whose cluster is absent from train. (4)</w:t>
      </w:r>
      <w:r>
        <w:t xml:space="preserve"> </w:t>
      </w:r>
      <w:r>
        <w:rPr>
          <w:i/>
          <w:iCs/>
        </w:rPr>
        <w:t xml:space="preserve">In-distribution control</w:t>
      </w:r>
      <w:r>
        <w:t xml:space="preserve">: within each timepoint, a stratified 80/20 split with the identical probe measures whether identity is encoded at all when no extrapolation is required. (5)</w:t>
      </w:r>
      <w:r>
        <w:t xml:space="preserve"> </w:t>
      </w:r>
      <w:r>
        <w:rPr>
          <w:i/>
          <w:iCs/>
        </w:rPr>
        <w:t xml:space="preserve">Novelty detection</w:t>
      </w:r>
      <w:r>
        <w:t xml:space="preserve">: the mean cosine distance from each test cell to its 15 nearest training cells is evaluated as an outlier score for novel- versus shared-cluster test cells by AUROC, globally and per timepoint (time-stratified, to prevent developmental drift from confounding the score). (6)</w:t>
      </w:r>
      <w:r>
        <w:t xml:space="preserve"> </w:t>
      </w:r>
      <w:r>
        <w:rPr>
          <w:i/>
          <w:iCs/>
        </w:rPr>
        <w:t xml:space="preserve">Confusion structure</w:t>
      </w:r>
      <w:r>
        <w:t xml:space="preserve">: row-normalized true → predicted lineage matrices on late test stages.</w:t>
      </w:r>
    </w:p>
    <w:p>
      <w:pPr>
        <w:pStyle w:val="BodyText"/>
      </w:pPr>
      <w:r>
        <w:rPr>
          <w:b/>
          <w:bCs/>
        </w:rPr>
        <w:t xml:space="preserve">Uncertainty.</w:t>
      </w:r>
      <w:r>
        <w:t xml:space="preserve"> </w:t>
      </w:r>
      <w:r>
        <w:t xml:space="preserve">95% confidence intervals are percentile bootstraps (B = 1,000) over test fish (24 zebrafish) or embryos (mouse): sampling units are resampled with replacement and cell-level accuracy is re-averaged per draw, so the intervals reflect biological replication rather than cell-count. scVI is summarized as mean ± SD over three seeds.</w:t>
      </w:r>
    </w:p>
    <w:p>
      <w:pPr>
        <w:pStyle w:val="BodyText"/>
      </w:pPr>
      <w:r>
        <w:rPr>
          <w:b/>
          <w:bCs/>
        </w:rPr>
        <w:t xml:space="preserve">Probe robustness.</w:t>
      </w:r>
      <w:r>
        <w:t xml:space="preserve"> </w:t>
      </w:r>
      <w:r>
        <w:t xml:space="preserve">Because reference mapping in practice is neighbourhood-based, kNN remains the primary probe; a linear probe stress-tests what is linearly decodable in each embedding, a distinction that has proven consequential for deep single-cell read-outs generally (Ahlmann-Eltze and Anders, 2025). We refit a multinomial logistic regression (StandardScaler + LogisticRegression, lbfgs, max_iter = 5,000, seed 42) on the same frozen training embeddings and re-evaluated all headline tasks (Supplementary Table S7). Embedding geometry was quantified by a one-sided permutation test of the train-versus-late centroid displacement in the original embedding space (B = 1,000 stage-label permutations) and by a drift index: the mean cosine distance of late-stage cells to their 15 nearest training cells divided by the within-train kNN distance baseline. Novel-cluster biology was scored with AddModuleScore-style signatures (100 expression-binned control gene sets, seed 42), testing each predicted novel cluster against all other cells by Mann–Whitney U with Benjamini–Hochberg correction.</w:t>
      </w:r>
    </w:p>
    <w:p>
      <w:pPr>
        <w:pStyle w:val="BodyText"/>
      </w:pPr>
      <w:r>
        <w:rPr>
          <w:b/>
          <w:bCs/>
        </w:rPr>
        <w:t xml:space="preserve">Split robustness.</w:t>
      </w:r>
      <w:r>
        <w:t xml:space="preserve"> </w:t>
      </w:r>
      <w:r>
        <w:t xml:space="preserve">Three controlled variations of the zebrafish split quantify how the conclusions depend on where the temporal boundary is drawn (Supplementary Tables S8–S9, Figure S2). (i)</w:t>
      </w:r>
      <w:r>
        <w:t xml:space="preserve"> </w:t>
      </w:r>
      <w:r>
        <w:rPr>
          <w:i/>
          <w:iCs/>
        </w:rPr>
        <w:t xml:space="preserve">Shifted windows</w:t>
      </w:r>
      <w:r>
        <w:t xml:space="preserve">: the training right endpoint moves from 16 hpf to 19 hpf, 24 hpf, and 72 hpf, with test = all later stages; frozen-model embeddings are re-probed without re-training, while PCA/Harmony/scVI are retrained per window (scVI frozen protocol, seed 42, justified by a three-seed SD ≤ 0.002 in the main protocol). The anchor window (right endpoint 16 hpf) reproduces the official protocol numbers exactly, confirming implementation equivalence. (ii)</w:t>
      </w:r>
      <w:r>
        <w:t xml:space="preserve"> </w:t>
      </w:r>
      <w:r>
        <w:rPr>
          <w:i/>
          <w:iCs/>
        </w:rPr>
        <w:t xml:space="preserve">Interpolation control</w:t>
      </w:r>
      <w:r>
        <w:t xml:space="preserve">: the same 5,899 19-hpf test cells are re-scored with a training set that additionally contains the 24-hpf stage (train = {10–16, 24 hpf}), so the query stage lies inside the training range. (iii)</w:t>
      </w:r>
      <w:r>
        <w:t xml:space="preserve"> </w:t>
      </w:r>
      <w:r>
        <w:rPr>
          <w:i/>
          <w:iCs/>
        </w:rPr>
        <w:t xml:space="preserve">Random-split ceiling</w:t>
      </w:r>
      <w:r>
        <w:t xml:space="preserve">: an 80/20 random cell split (seed 42) reruns the full protocol, re-probing frozen embeddings and retraining PCA/Harmony/scVI, and is compared with the temporal split on identical cells, quantifying the optimism of same-distribution evaluation.</w:t>
      </w:r>
    </w:p>
    <w:bookmarkEnd w:id="14"/>
    <w:bookmarkStart w:id="15" w:name="implementation"/>
    <w:p>
      <w:pPr>
        <w:pStyle w:val="Heading3"/>
      </w:pPr>
      <w:r>
        <w:t xml:space="preserve">2.5 Implementation</w:t>
      </w:r>
    </w:p>
    <w:p>
      <w:pPr>
        <w:pStyle w:val="FirstParagraph"/>
      </w:pPr>
      <w:r>
        <w:t xml:space="preserve">Experiments ran on one workstation with an RTX 5080 GPU (16 GB) under Windows, using PyTorch 2.11.0 (CUDA 12.8), scvi-tools 1.4.2, scanpy 1.11.5 / anndata 0.12.19, and scikit-learn 1.9.0. Environment snapshots with exact package locks are provided in</w:t>
      </w:r>
      <w:r>
        <w:t xml:space="preserve"> </w:t>
      </w:r>
      <w:r>
        <w:rPr>
          <w:rStyle w:val="VerbatimChar"/>
        </w:rPr>
        <w:t xml:space="preserve">envs/</w:t>
      </w:r>
      <w:r>
        <w:t xml:space="preserve">, and platform-specific engineering (a deterministic, checkpoint-resumable TranscriptFormer inference path; detached-process execution) is documented in</w:t>
      </w:r>
      <w:r>
        <w:t xml:space="preserve"> </w:t>
      </w:r>
      <w:r>
        <w:rPr>
          <w:rStyle w:val="VerbatimChar"/>
        </w:rPr>
        <w:t xml:space="preserve">REPRODUCIBILITY.md</w:t>
      </w:r>
      <w:r>
        <w:t xml:space="preserve">. Wall-clock time and memory per model are in Supplementary Table S5. Every reported number is linked to a versioned JSON result file under</w:t>
      </w:r>
      <w:r>
        <w:t xml:space="preserve"> </w:t>
      </w:r>
      <w:r>
        <w:rPr>
          <w:rStyle w:val="VerbatimChar"/>
        </w:rPr>
        <w:t xml:space="preserve">results/</w:t>
      </w:r>
      <w:r>
        <w:t xml:space="preserve"> </w:t>
      </w:r>
      <w:r>
        <w:t xml:space="preserve">and to a SHA256 provenance manifest, and all UMAP panels use identical parameters (</w:t>
      </w:r>
      <w:r>
        <w:rPr>
          <w:rStyle w:val="VerbatimChar"/>
        </w:rPr>
        <w:t xml:space="preserve">scanpy.pp.neighbors</w:t>
      </w:r>
      <w:r>
        <w:t xml:space="preserve">, k = 15, seed 42) fitted independently per model. Figures follow journal formatting guidelines (sans-serif type at 5–7 pt at final print size, 183 mm double-column width, bold panel letters, colourblind-safe (Okabe–Ito) model palette) and are produced by the</w:t>
      </w:r>
      <w:r>
        <w:t xml:space="preserve"> </w:t>
      </w:r>
      <w:r>
        <w:rPr>
          <w:rStyle w:val="VerbatimChar"/>
        </w:rPr>
        <w:t xml:space="preserve">src/</w:t>
      </w:r>
      <w:r>
        <w:t xml:space="preserve"> </w:t>
      </w:r>
      <w:r>
        <w:t xml:space="preserve">plotting scripts.</w:t>
      </w:r>
    </w:p>
    <w:bookmarkEnd w:id="15"/>
    <w:bookmarkEnd w:id="16"/>
    <w:bookmarkStart w:id="25" w:name="results"/>
    <w:p>
      <w:pPr>
        <w:pStyle w:val="Heading2"/>
      </w:pPr>
      <w:r>
        <w:t xml:space="preserve">3 Results</w:t>
      </w:r>
    </w:p>
    <w:bookmarkStart w:id="17" w:name="X4e92ee6cac0a1a964b3ec30edbc34aaa4b9997d"/>
    <w:p>
      <w:pPr>
        <w:pStyle w:val="Heading3"/>
      </w:pPr>
      <w:r>
        <w:t xml:space="preserve">3.1 A unified time-split benchmark across two embryos</w:t>
      </w:r>
    </w:p>
    <w:p>
      <w:pPr>
        <w:pStyle w:val="FirstParagraph"/>
      </w:pPr>
      <w:r>
        <w:t xml:space="preserve">Figure 1 summarizes the design. Two public, time-resolved embryonic atlases are split along their strongest biological axis, developmental time, so that training sees only early development and testing requires extrapolation over the remainder of embryogenesis (zebrafish: 10–16 hpf → 19 hpf–10 dpf; mouse: E6.5–E7.0 → E7.25–E8.5). The split withholds genuinely late biology from every model: 22 of the 51 zebrafish test cluster labels and 11 of the 22 mouse labels never occur in training. Into this single harness we place seven embedding methods spanning three generations of single-cell representation learning: PCA-50 and Harmony as classical baselines, scVI as the deep-generative representative, and the foundation models STATE SE-600M, UCE, Geneformer V1-10M and TranscriptFormer tf-metazoa. All are evaluated frozen, with an identical kNN reference-mapping probe, identical majority baselines, and identical bootstrap statistics (Section 2.4). No method sees a test label at any point; an early semi-supervised scANVI configuration that reached 0.927 was removed from the benchmark precisely because its training consumed lineage labels, a protocol asymmetry the frozen methods do not enjoy (Section 4). The benchmark thus holds the data, genes (or documents their difference), probe, and statistics fixed while the embedding varies (Table 1, Table 2, Figure 2).</w:t>
      </w:r>
    </w:p>
    <w:bookmarkEnd w:id="17"/>
    <w:bookmarkStart w:id="18" w:name="Xd0e746ebaca97d47f8a2096f37738a291a7d541"/>
    <w:p>
      <w:pPr>
        <w:pStyle w:val="Heading3"/>
      </w:pPr>
      <w:r>
        <w:t xml:space="preserve">3.2 Coarse lineage transfers, stratified by pretraining species coverage</w:t>
      </w:r>
    </w:p>
    <w:p>
      <w:pPr>
        <w:pStyle w:val="FirstParagraph"/>
      </w:pPr>
      <w:r>
        <w:t xml:space="preserve">Against a 0.352 majority baseline, the primary methods transfer zebrafish lineage identity at 0.497–0.864 accuracy (Table 1). The result has clear structure: the non-PCA human-ortholog-routed methods cluster at 0.710–0.757 with mutually overlapping bootstrap CIs (UCE 0.725 [0.687, 0.768] joins this group), while TranscriptFormer, pretrained natively on zebrafish among twelve species, reaches</w:t>
      </w:r>
      <w:r>
        <w:t xml:space="preserve"> </w:t>
      </w:r>
      <w:r>
        <w:rPr>
          <w:b/>
          <w:bCs/>
        </w:rPr>
        <w:t xml:space="preserve">0.864 [0.839, 0.891]</w:t>
      </w:r>
      <w:r>
        <w:t xml:space="preserve">, with a CI excluding all primary comparison models. The gene-set control uses the corresponding 2,994 native genes recoverable from the ortholog-derived set and leaves accuracy at</w:t>
      </w:r>
      <w:r>
        <w:t xml:space="preserve"> </w:t>
      </w:r>
      <w:r>
        <w:rPr>
          <w:b/>
          <w:bCs/>
        </w:rPr>
        <w:t xml:space="preserve">0.869 [0.844, 0.894]</w:t>
      </w:r>
      <w:r>
        <w:t xml:space="preserve">; thus its advantage is not an artefact of input gene count. Native ENSDARG routing to TranscriptFormer (0.869) outperforms human-symbol routing to STATE/Geneformer (0.710/0.726), although these are not identical input matrices. Species-appropriate pretraining, rather than gene count alone, is associated with coarse-grained temporal transfer. The advantage is, however, read-out-specific: under a linear probe it disappears (TranscriptFormer 0.518, below scVI 0.768 and Geneformer 0.757; Section 3.8).</w:t>
      </w:r>
    </w:p>
    <w:p>
      <w:pPr>
        <w:pStyle w:val="BodyText"/>
      </w:pPr>
      <w:r>
        <w:t xml:space="preserve">Nor is the advantage universal. On mouse gastrulation, where the training fraction is smaller and the lineage labels coarser, the five evaluated methods have similar point estimates (0.638–0.687), with PCA nominally highest at 0.687 [0.624, 0.760] and TranscriptFormer at 0.657 (Table 2, Figure 2E, F). The non-scVI methods have bootstrap CIs; scVI is summarized as mean ± SD over seeds, so the uncertainty formats are not identical. Native coverage helps when the developmental distance is large and the label granularity fine; it buys nothing measurable in this second regime. We return to this asymmetry in the Discussion.</w:t>
      </w:r>
    </w:p>
    <w:p>
      <w:pPr>
        <w:pStyle w:val="BodyText"/>
      </w:pPr>
      <w:r>
        <w:t xml:space="preserve">Accuracy generally decreases with developmental distance from the training window, but several models show stage-specific recoveries (e.g., TranscriptFormer 0.978 at 19 hpf → 0.817 at 10 dpf, with a recovery to 0.916 at 3 dpf; PCA 0.973 → 0.187; Figure 2C), indicating that the benchmark measures extrapolation rather than simple annotation.</w:t>
      </w:r>
    </w:p>
    <w:bookmarkEnd w:id="18"/>
    <w:bookmarkStart w:id="19" w:name="X190bedf750b2a187c8290067e7f189f0bcf296c"/>
    <w:p>
      <w:pPr>
        <w:pStyle w:val="Heading3"/>
      </w:pPr>
      <w:r>
        <w:t xml:space="preserve">3.3 Fine-grained identity fails everywhere, in both species, while being fully encoded in-distribution</w:t>
      </w:r>
    </w:p>
    <w:p>
      <w:pPr>
        <w:pStyle w:val="FirstParagraph"/>
      </w:pPr>
      <w:r>
        <w:t xml:space="preserve">On shared clusters (29 zebrafish shared clusters that do appear in train),</w:t>
      </w:r>
      <w:r>
        <w:t xml:space="preserve"> </w:t>
      </w:r>
      <w:r>
        <w:rPr>
          <w:b/>
          <w:bCs/>
        </w:rPr>
        <w:t xml:space="preserve">every primary frozen method scores below the majority baseline</w:t>
      </w:r>
      <w:r>
        <w:t xml:space="preserve">: 0.040–0.069 vs 0.100 (Figure 2B). This is not a property of weak probes or mislabelled data: the same embeddings, same kNN, and same timepoints achieve</w:t>
      </w:r>
      <w:r>
        <w:t xml:space="preserve"> </w:t>
      </w:r>
      <w:r>
        <w:rPr>
          <w:b/>
          <w:bCs/>
        </w:rPr>
        <w:t xml:space="preserve">0.90–0.98 (PCA), 0.89–0.95 (STATE), 0.90–0.94 (TranscriptFormer), 0.65–0.82 (UCE), 0.63–0.76 (Geneformer)</w:t>
      </w:r>
      <w:r>
        <w:t xml:space="preserve"> </w:t>
      </w:r>
      <w:r>
        <w:t xml:space="preserve">in within-timepoint 80/20 controls (Figure 2D, Supplementary Table S2). The in-distribution-to-extrapolation drop is large and universal across classical, generative, and foundation models: the strongest model in our panel (TranscriptFormer) is among the worst on this task (0.040). The failure replicates on mouse: primary frozen point estimates are 0.062–0.073 vs majority 0.117, while the fully-unfrozen scVI seed-42 variant reaches 0.095; in-distribution controls again reach 0.63–0.95 (Figure 2E, F; Supplementary Figure S1A pairs each within-distribution ceiling with its extrapolated score).</w:t>
      </w:r>
    </w:p>
    <w:p>
      <w:pPr>
        <w:pStyle w:val="BodyText"/>
      </w:pPr>
      <w:r>
        <w:t xml:space="preserve">Thus fine-grained identity is</w:t>
      </w:r>
      <w:r>
        <w:t xml:space="preserve"> </w:t>
      </w:r>
      <w:r>
        <w:rPr>
          <w:i/>
          <w:iCs/>
        </w:rPr>
        <w:t xml:space="preserve">represented</w:t>
      </w:r>
      <w:r>
        <w:t xml:space="preserve"> </w:t>
      </w:r>
      <w:r>
        <w:t xml:space="preserve">(retrievable when the query distribution matches the reference) but is not</w:t>
      </w:r>
      <w:r>
        <w:t xml:space="preserve"> </w:t>
      </w:r>
      <w:r>
        <w:rPr>
          <w:i/>
          <w:iCs/>
        </w:rPr>
        <w:t xml:space="preserve">extrapolated</w:t>
      </w:r>
      <w:r>
        <w:t xml:space="preserve">: developmental time shifts the transcriptional realization of a cell type (compartment transitions, organogenesis programs) more than the kNN-retrievable structure of any current embedding preserves. Figure 3 makes this geometric: in every embedding, late-stage cells colonize map regions that the grey training window never covers, and no embedding folds the future back onto the reference. The pattern is statistically solid: the train-versus-late centroid displacement is significant for all six models (one-sided permutation, B = 1,000, p = 0.001), and the drift index ranges from 1.7 (Harmony) to 16.8 (TranscriptFormer): the largest drift accompanies the best lineage transfer, indicating an advantage built on reorganized geometry rather than absence of drift.</w:t>
      </w:r>
    </w:p>
    <w:bookmarkEnd w:id="19"/>
    <w:bookmarkStart w:id="20" w:name="X5e0f3d6a2bcaade13d5f7ef3a82ce3f985cae0e"/>
    <w:p>
      <w:pPr>
        <w:pStyle w:val="Heading3"/>
      </w:pPr>
      <w:r>
        <w:t xml:space="preserve">3.4 What the models get wrong: adjacent fates, not random noise</w:t>
      </w:r>
    </w:p>
    <w:p>
      <w:pPr>
        <w:pStyle w:val="FirstParagraph"/>
      </w:pPr>
      <w:r>
        <w:t xml:space="preserve">Confusion flows on late timepoints are systematic (Figure 4). STATE’s dominant errors route neural crest to central nervous system (64% of neural-crest cells), paraxial to lateral mesoderm (38%), and mesenchyme to lateral mesoderm (32%); TranscriptFormer’s route paraxial mesoderm to mesenchyme (56%) and neural crest to mesenchyme (43%). Errors concentrate between lineages that are developmental neighbours (fate switches occupying adjacent positions in the same germ-layer attractor) rather than between unrelated fates. Consistent with this, the 22 novel clusters are overwhelmingly late-differentiating functional types (neutrophils, choroid plexus, intestinal epithelium, endothelium, glia; marker analysis in Supplementary Table S6), i.e., states whose identity is defined by programs that switch on after the training horizon. AddModuleScore-style signatures quantify this for the four scorable programs: the enriched novel clusters are choroid plexus (47/40; e.g., cluster 47 mean +2.38 versus +0.24 elsewhere), endothelial (36), oligodendrocyte/glia (46/48) and neutrophil (31/34), all BH-corrected p &lt; 1e-8 (Supplementary Table S6). Intestinal epithelium could not be scored because only one of its two marker genes survives the HVG panel.</w:t>
      </w:r>
    </w:p>
    <w:bookmarkEnd w:id="20"/>
    <w:bookmarkStart w:id="21" w:name="Xe56912a366858c0dfc613393c4cfd0c8cac7ffb"/>
    <w:p>
      <w:pPr>
        <w:pStyle w:val="Heading3"/>
      </w:pPr>
      <w:r>
        <w:t xml:space="preserve">3.5 Placement without detection: novel states are silently absorbed</w:t>
      </w:r>
    </w:p>
    <w:p>
      <w:pPr>
        <w:pStyle w:val="FirstParagraph"/>
      </w:pPr>
      <w:r>
        <w:t xml:space="preserve">On novel-cluster cells, lineage placement remains good (TranscriptFormer 0.798, scVI-unfrozen 0.675, STATE 0.673); models map never-seen states to the correct germ layer. But an operational virtual cell should also</w:t>
      </w:r>
      <w:r>
        <w:t xml:space="preserve"> </w:t>
      </w:r>
      <w:r>
        <w:rPr>
          <w:i/>
          <w:iCs/>
        </w:rPr>
        <w:t xml:space="preserve">flag</w:t>
      </w:r>
      <w:r>
        <w:t xml:space="preserve"> </w:t>
      </w:r>
      <w:r>
        <w:t xml:space="preserve">novelty. Mean 15-NN distance gives global AUROC 0.661 (UCE), 0.659 (STATE), 0.626 (Geneformer), and 0.621 (TranscriptFormer), with large per-timepoint swings (0.39–0.93), and mouse repeats the pattern (UCE 0.602, TranscriptFormer 0.619; per-stage 0.19–0.82; Supplementary Figure S1B, C; Supplementary Table S3). In practice this means a future-state cell is placed into a plausible lineage with no accompanying signal that it is not any existing training state: the worst failure mode for prospective use, because it is silent.</w:t>
      </w:r>
    </w:p>
    <w:bookmarkEnd w:id="21"/>
    <w:bookmarkStart w:id="22" w:name="X99be4982382f237f571e19c115abdae8c56bbe3"/>
    <w:p>
      <w:pPr>
        <w:pStyle w:val="Heading3"/>
      </w:pPr>
      <w:r>
        <w:t xml:space="preserve">3.6 Test-time adaptation does not rescue identity; default scArches surgery is a no-op</w:t>
      </w:r>
    </w:p>
    <w:p>
      <w:pPr>
        <w:pStyle w:val="FirstParagraph"/>
      </w:pPr>
      <w:r>
        <w:t xml:space="preserve">Three adaptation protocols bracket the practical options (zebrafish): transductive Harmony (sees all test cells), default scArches surgery, and fully unfrozen surgery training (both train on all 102,335 test cells without labels for 30 epochs). Harmony (0.711) and default surgery (0.716) match frozen scVI to the third decimal, and we trace the surgery result to its cause:</w:t>
      </w:r>
      <w:r>
        <w:t xml:space="preserve"> </w:t>
      </w:r>
      <w:r>
        <w:rPr>
          <w:b/>
          <w:bCs/>
        </w:rPr>
        <w:t xml:space="preserve">with scvi-tools defaults, the query encoder output is bit-identical to the frozen encoder (max |Δz| = 0; 0% of kNN predictions change) although 41% of parameters are flagged trainable</w:t>
      </w:r>
      <w:r>
        <w:t xml:space="preserve">, an artefact of frozen batch-embedding bookkeeping that we believe warrants community awareness. Fully unfreezing restores genuine adaptation (30.5% of predictions change), lifting lineage to 0.757 ± 0.028 (+4.1 pp, best of the human-ortholog group), while cluster accuracy moves only to 0.058 ± 0.009, still under the 0.100 majority baseline. No adaptation regime closes the identity gap.</w:t>
      </w:r>
    </w:p>
    <w:bookmarkEnd w:id="22"/>
    <w:bookmarkStart w:id="23" w:name="practical-cost"/>
    <w:p>
      <w:pPr>
        <w:pStyle w:val="Heading3"/>
      </w:pPr>
      <w:r>
        <w:t xml:space="preserve">3.7 Practical cost</w:t>
      </w:r>
    </w:p>
    <w:p>
      <w:pPr>
        <w:pStyle w:val="FirstParagraph"/>
      </w:pPr>
      <w:r>
        <w:t xml:space="preserve">On a single 16 GB consumer GPU, the two cleaned atlases contain 229,301 cells in total. TranscriptFormer is the throughput outlier at 33–39 ms/cell for the recorded zebrafish runs (~79 min), UCE embeds both atlases at ~15–21 ms/cell (1,791 s for zebrafish, 2,291 s for mouse), Geneformer runs at 455 s for 120,444 cells (3.78 ms/cell), and classical baselines complete within the combined classical evaluation run (Supplementary Table S5). A timed TranscriptFormer rerun on the mouse atlas completes in 3,203 s for 108,857 cells (29.4 ms/cell end-to-end including model load), and the regenerated embedding is</w:t>
      </w:r>
      <w:r>
        <w:t xml:space="preserve"> </w:t>
      </w:r>
      <w:r>
        <w:rPr>
          <w:b/>
          <w:bCs/>
        </w:rPr>
        <w:t xml:space="preserve">bit-identical</w:t>
      </w:r>
      <w:r>
        <w:t xml:space="preserve"> </w:t>
      </w:r>
      <w:r>
        <w:t xml:space="preserve">to the original run (max |Δ| = 0 over the full 108,857 × 2,048 matrix); the Windows-stable inference path is deterministic end-to-end. Frontier models are computationally accessible for developmental benchmarking; the bottleneck is inference engineering, not hardware scale.</w:t>
      </w:r>
    </w:p>
    <w:bookmarkEnd w:id="23"/>
    <w:bookmarkStart w:id="24" w:name="X13fc6b0f28c3909a17c5530810796292b795815"/>
    <w:p>
      <w:pPr>
        <w:pStyle w:val="Heading3"/>
      </w:pPr>
      <w:r>
        <w:t xml:space="preserve">3.8 Probe sensitivity: what survives a linear classifier</w:t>
      </w:r>
    </w:p>
    <w:p>
      <w:pPr>
        <w:pStyle w:val="FirstParagraph"/>
      </w:pPr>
      <w:r>
        <w:t xml:space="preserve">Because reference mapping in practice is neighbourhood-based, kNN remains our primary probe; a linear probe stress-tests what is linearly decodable in each embedding (Supplementary Table S7). Two conclusions are robust. First, the central fine-grained failure: the linear probe lifts shared-cluster accuracy to 0.134–0.198, above the 0.100 majority baseline for every model but still 4.6–5.8× below each model’s own in-distribution median (0.71–0.95). Identity that never transfers under kNN is also barely linearly present across time. Second, the universal geometric signature holds under permutation testing (all p = 0.001). What does not survive is the model ranking at coarse level: TranscriptFormer’s lineage accuracy drops from 0.864 to 0.518 and its novel-cluster placement from 0.798 to 0.390, while scVI (0.768) and Geneformer (0.757) become the best linearly decodable models (UCE 0.689) and every model’s shared-cluster accuracy now clears majority. TranscriptFormer’s advantage therefore lives in local neighbourhood geometry (the quantity that kNN-based reference mapping consumes) rather than in linearly separable coordinates, and its apparent ability to place novel late states depends on the same geometry. For practitioners this is guidance, not contradiction: with a kNN mapper (the standard tool), TranscriptFormer remains the strongest reference; a downstream linear head would rank the models differently.</w:t>
      </w:r>
      <w:r>
        <w:t xml:space="preserve"> </w:t>
      </w:r>
      <w:r>
        <w:t xml:space="preserve">### 3.9 Where the boundary is drawn matters: shifted windows, an interpolation control, and the random-split ceiling</w:t>
      </w:r>
    </w:p>
    <w:p>
      <w:pPr>
        <w:pStyle w:val="BodyText"/>
      </w:pPr>
      <w:r>
        <w:t xml:space="preserve">Re-drawing the temporal boundary changes the two headline conclusions in opposite ways (Supplementary Table S8, Figure S2A, B). As the training right endpoint moves from 16 hpf to 19, 24, and 72 hpf, foundation-model lineage placement</w:t>
      </w:r>
      <w:r>
        <w:t xml:space="preserve"> </w:t>
      </w:r>
      <w:r>
        <w:rPr>
          <w:i/>
          <w:iCs/>
        </w:rPr>
        <w:t xml:space="preserve">improves</w:t>
      </w:r>
      <w:r>
        <w:t xml:space="preserve"> </w:t>
      </w:r>
      <w:r>
        <w:t xml:space="preserve">with window width: scVI 0.716→0.738→0.853→0.956, STATE 0.710→0.771→0.804→0.950, UCE 0.725→0.732→0.706→0.904, Geneformer 0.726→0.870, TranscriptFormer 0.864→0.943 (TranscriptFormer and UCE dip to 0.829 and 0.706 at the 24-hpf boundary), indicating that the residual lineage deficit of the main split is a</w:t>
      </w:r>
      <w:r>
        <w:t xml:space="preserve"> </w:t>
      </w:r>
      <w:r>
        <w:rPr>
          <w:i/>
          <w:iCs/>
        </w:rPr>
        <w:t xml:space="preserve">reach</w:t>
      </w:r>
      <w:r>
        <w:t xml:space="preserve"> </w:t>
      </w:r>
      <w:r>
        <w:t xml:space="preserve">problem that additional temporal coverage largely removes. The classical baselines do the opposite: PCA falls from 0.497 to 0.219–0.320 and Harmony from 0.709 to 0.218–0.303,</w:t>
      </w:r>
      <w:r>
        <w:t xml:space="preserve"> </w:t>
      </w:r>
      <w:r>
        <w:rPr>
          <w:i/>
          <w:iCs/>
        </w:rPr>
        <w:t xml:space="preserve">below</w:t>
      </w:r>
      <w:r>
        <w:t xml:space="preserve"> </w:t>
      </w:r>
      <w:r>
        <w:t xml:space="preserve">the ~0.33 majority baseline, once the training window spans a broader developmental range. Fine-grained identity, by contrast, fails in every window and for every model: shared-cluster accuracy never exceeds 0.069 anywhere in the sweep and falls to 0.009–0.024 (≈ the 1/45 chance level) in the widest window (train ≤ 3 dpf → test 5–10 dpf), even though those stages are developmentally adjacent. Identity failure is therefore invariant to how much temporal coverage the reference has, while lineage transfer is a smoothly decreasing function of the remaining distance.</w:t>
      </w:r>
    </w:p>
    <w:p>
      <w:pPr>
        <w:pStyle w:val="BodyText"/>
      </w:pPr>
      <w:r>
        <w:t xml:space="preserve">Two further controls sharpen the interpretation (Figure S2C). First, adjacent-stage placement is not the bottleneck: on the main split, every model already places 19-hpf cells at 0.92–0.98 lineage accuracy. Second, the interpolation control shows that</w:t>
      </w:r>
      <w:r>
        <w:t xml:space="preserve"> </w:t>
      </w:r>
      <w:r>
        <w:rPr>
          <w:i/>
          <w:iCs/>
        </w:rPr>
        <w:t xml:space="preserve">adding</w:t>
      </w:r>
      <w:r>
        <w:t xml:space="preserve"> </w:t>
      </w:r>
      <w:r>
        <w:t xml:space="preserve">a later stage to training does not explain these gains mechanically. When the same 5,899 19-hpf cells are re-scored with 24-hpf data included in training, the four strongest foundation models are unchanged (Δ ≤ +0.013 from a ≥ 0.93 base; their gain across windows comes from testing on nearer stages, not from late data acting on early queries), whereas PCA (−0.47), Harmony (−0.51) and Geneformer (−0.16)</w:t>
      </w:r>
      <w:r>
        <w:t xml:space="preserve"> </w:t>
      </w:r>
      <w:r>
        <w:rPr>
          <w:i/>
          <w:iCs/>
        </w:rPr>
        <w:t xml:space="preserve">degrade</w:t>
      </w:r>
      <w:r>
        <w:t xml:space="preserve"> </w:t>
      </w:r>
      <w:r>
        <w:t xml:space="preserve">substantially: broadening the training range lets between-stage variance dominate the (linear or small) embedding and destroys even near-stage structure. Finally, rerunning the identical protocol under a random 80/20 cell split, the convention this benchmark argues against, quantifies the optimism of same-distribution evaluation: every model’s lineage accuracy rises to 0.908–0.972 (+11 to +47 pp) and shared-cluster accuracy rises from 0.040–0.069 to 0.592–0.890, a 9–21× inflation that would flip the ranking (PCA becomes the strongest cluster performer) and conceals every failure documented above (Supplementary Table S9, Figure S2D, E).</w:t>
      </w:r>
    </w:p>
    <w:bookmarkEnd w:id="24"/>
    <w:bookmarkEnd w:id="25"/>
    <w:bookmarkStart w:id="26" w:name="discussion"/>
    <w:p>
      <w:pPr>
        <w:pStyle w:val="Heading2"/>
      </w:pPr>
      <w:r>
        <w:t xml:space="preserve">4 Discussion</w:t>
      </w:r>
    </w:p>
    <w:p>
      <w:pPr>
        <w:pStyle w:val="FirstParagraph"/>
      </w:pPr>
      <w:r>
        <w:t xml:space="preserve">Asked whether frontier virtual-cell models know development in the forward direction, this benchmark returns an answer that depends on where the query sits relative to the model’s observed manifold. Inside the manifold (in-distribution controls, adjacent stages, random splits), every method looks strong, reaching 0.63–0.98 on tasks where the same embedding scores 0.040–0.069 under temporal extrapolation. At the boundary the verdict splits. Coarse lineage identity transfers across developmental time in every method, and on zebrafish the natively pretrained TranscriptFormer holds a decisive, gene-set-independent lead (0.864 [0.839, 0.891]; control 0.869) over the 0.710–0.757 human-ortholog group. Fine-grained identity does not transfer at all, below the majority baseline in every method and in both species, and novel states are absorbed silently, placed into plausible lineages (up to 0.80) without any accompanying novelty signal (AUROC 0.62–0.66 on zebrafish; 0.602–0.619 on mouse). These layers have distinct practical readings: lineage-level developmental annotation from a frozen reference is already usable; prospectively naming future cell types with any current model is not; and pipelines that consume model confidence will not detect when their inputs leave the manifold.</w:t>
      </w:r>
    </w:p>
    <w:p>
      <w:pPr>
        <w:pStyle w:val="BodyText"/>
      </w:pPr>
      <w:r>
        <w:t xml:space="preserve">Method evaluation in single-cell genomics has matured furthest in two areas: data integration, where standardized benchmarks score batch removal against biological conservation across dozens of methods and tasks (Luecken et al., 2022), and reference-based annotation, where cross-tissue reference mapping now underpins cell-type assignment at atlas scale (Domínguez Conde et al., 2022). Foundation-model evaluation is younger and still converging. Recent frameworks standardize interfaces and score zero-shot versus fine-tuned behaviour across tasks (Qiu et al., 2025), scaling studies find no clear relationship between pretraining corpus size and downstream performance (DenAdel et al., 2026), drug-response benchmarks report rankings that flip between pooled and cross-dataset evaluation (Wang et al., 2025), and the linear-baseline critique shows that deep read-outs do not automatically justify themselves over simple ones (Ahlmann-Eltze and Anders, 2025). Opinion pieces have called for exactly this kind of calibrated, task-specific accounting (Hao et al., 2024). Our benchmark contributes the axis that none of these evaluations test. Developmental time replaces the usual train/query split with forward extrapolation, the test set contains states that the reference cannot cover in principle, two species separate routing effects from model effects through a gene-set control, and the adaptation audit asks whether test-time training actually changes anything. The same discipline could be applied to any future virtual-cell claim.</w:t>
      </w:r>
    </w:p>
    <w:p>
      <w:pPr>
        <w:pStyle w:val="BodyText"/>
      </w:pPr>
      <w:r>
        <w:t xml:space="preserve">The error structure supports a mechanistic reading. What transfers is carried by broad, conserved lineage programs whose embedding geometry drifts slowly with developmental time; what fails is carried by combinations of late-acting programs, the organogenesis and functional modules that switch on after the training horizon, for which the early reference contains no anchor at all. Single-cell atlases of mammalian organogenesis show how much transcriptional novelty is packed into this window: hundreds of cell types and dozens of trajectories emerge between roughly E9.5 and E13.5 in the mouse (Cao et al., 2019), and our test stages sit squarely inside such a diversification phase. Three observations converge on the account. First, errors route between developmental neighbours rather than unrelated fates (neural crest → central nervous system, paraxial mesoderm → lateral mesoderm and mesenchyme; Figure 4): the models resolve germ-layer-level attractors but blur the fates that subdivide them late. Second, the 22 novel clusters are overwhelmingly late-differentiating functional types, and AddModuleScore-style signatures place the predicted clusters on the correct programs (all BH-corrected p &lt; 1e-8): the models are not confusable by noise; they are missing the programs. Third, and most constraining, the shifted-window sweep shows shared-cluster accuracy at or near chance in every window, including one that trains through 3 dpf and queries only 5–10 dpf, developmentally adjacent stages, where lineage placement simultaneously reaches 0.95. Identity failure is therefore not a reach problem that more temporal coverage mechanically repairs (Section 3.9), and no adaptation regime re-anchors it: transductive Harmony, default surgery, and fully unfrozen query training all leave shared-cluster accuracy under the majority baseline. This reading is also consistent with what the clustering literature has long documented: cluster identity is the more fragile label, sensitive to resolution and protocol even in-distribution (Kiselev et al., 2019), so a temporal shift that moves global expression geometry should be expected to break it first.</w:t>
      </w:r>
    </w:p>
    <w:p>
      <w:pPr>
        <w:pStyle w:val="BodyText"/>
      </w:pPr>
      <w:r>
        <w:t xml:space="preserve">TranscriptFormer’s zebrafish margin is real: its bootstrap CI excludes every primary comparison model, and re-embedding it on the 2,994 native genes recoverable from the ortholog-derived set leaves the advantage intact (0.869), so input-gene count does not explain it. But the same comparison on mouse is a null (PCA nominally highest at 0.687), and the linear probe overturns the zebrafish ranking entirely (TranscriptFormer 0.518, behind scVI 0.768 and Geneformer 0.757, with UCE at 0.689; Section 3.8). Ranking instability of this kind is emerging as a field-wide pattern: BioLLM reports model-by-task interactions across standard benchmarks (Qiu et al., 2025), and scDrugMap finds that the best model changes between pooled and cross-dataset drug-response settings (Wang et al., 2025). Our contribution is to locate one concrete source of the instability for embedding benchmarks: the read-out. TranscriptFormer’s advantage lives in local neighbourhood geometry, the quantity a kNN reference mapper consumes, so it is an advantage for the dominant current use case rather than a universal property of the embedding. Two cautions bound the conclusion. Two datasets cannot separate pretraining data composition from architecture, and the gene-set control isolates only input genes. With those bounds stated, the operational guidance is simple: with a kNN mapper and a species in the pretraining roster, the natively pretrained model is a reasonable default; for species outside the roster, human-ortholog routing of the same models remains competitive at lineage level; and a downstream linear head would rank the panel differently.</w:t>
      </w:r>
    </w:p>
    <w:p>
      <w:pPr>
        <w:pStyle w:val="BodyText"/>
      </w:pPr>
      <w:r>
        <w:t xml:space="preserve">Three of our findings are directives rather than observations. First, random cell-split evaluation cannot measure any failure documented here: under an identical random 80/20 protocol, shared-cluster accuracy inflates 9–21× (0.040–0.069 → 0.59–0.89) and lineage accuracy rises to 0.91–0.97 (+11 to +47 pp), and the method ranking flips. Any state-prediction claim evaluated on random splits should be treated as unmeasured; time-split, perturbation-split, or donor-split designs should become the default for generalization claims, exactly as integration benchmarks moved the field to task-specific scoring (Luecken et al., 2022). Second, the scArches result (default</w:t>
      </w:r>
      <w:r>
        <w:t xml:space="preserve"> </w:t>
      </w:r>
      <w:r>
        <w:rPr>
          <w:rStyle w:val="VerbatimChar"/>
        </w:rPr>
        <w:t xml:space="preserve">load_query_data</w:t>
      </w:r>
      <w:r>
        <w:t xml:space="preserve"> </w:t>
      </w:r>
      <w:r>
        <w:t xml:space="preserve">returns embeddings bit-identical to the frozen encoder while reporting 41% of parameters trainable) means a study using default surgery as its adaptation arm has, in at least this widely used configuration, measured the frozen model twice; adaptation arms should be verified to change predictions before their deltas are interpreted. Third, protocol symmetry matters as much as model choice: the strongest number we ever observed (scANVI at 0.927) was an artefact of label leakage through a supervised training protocol and does not appear in this paper. The headline results survive gene-set, k, seed, bootstrap, read-out, and split-design sensitivity checks because each was stress-tested before being reported.</w:t>
      </w:r>
    </w:p>
    <w:p>
      <w:pPr>
        <w:pStyle w:val="BodyText"/>
      </w:pPr>
      <w:r>
        <w:t xml:space="preserve">The worst failure mode for prospective use is unflagged novelty rather than misclassification: a future-state cell receives a plausible lineage label with no signal that it is unlike anything in the reference. Embedding-space distance, the natural first quantity a pipeline computes, is close to useless for this (global AUROC 0.621–0.661 for the four foundation models on zebrafish, 0.602–0.619 on mouse, with per-stage values as low as 0.19). Dedicated out-of-distribution machinery developed for single-cell annotation should be evaluated in this role (Theunissen et al., 2025), and uncertainty quantification generally is absent from current embedding pipelines. Dynamics-aware methods read a different signal: RNA velocity infers the time derivative of expression from splicing information (La Manno et al., 2018), and CellRank generalizes fate mapping to settings where direction is uncertain (Lange et al., 2022). Combining such directional signals with embedding-based mapping, and requiring agreement before a prospective identity claim is accepted, is a concrete design target for the next generation of virtual cells and a natural extension of this benchmark.</w:t>
      </w:r>
    </w:p>
    <w:p>
      <w:pPr>
        <w:pStyle w:val="BodyText"/>
      </w:pPr>
      <w:r>
        <w:t xml:space="preserve">Five boundaries delimit these conclusions. First, the primary probe is kNN, the operationally dominant use; the linear-probe replication (Section 3.8) marks which conclusions are probe-robust (the fine-grained failure and the geometry statistics) and which are not (the coarse-level ranking). Fine-tuned, non-frozen heads remain untested. Second, the model panel is large but not exhaustive: scGPT, GeneCompass, and the 33-layer UCE checkpoint are not benchmarked, and the two smallest models included (UCE 4-layer and Geneformer V1-10M) are also the weakest under in-distribution controls (0.65–0.82 and 0.63–0.76 on zebrafish), so their fine-grained failures are expected while their lineage rankings remain informative; the released protocol makes panel extensions a re-embedding rather than a re-engineering effort. Third, the species-coverage claim rests on two atlases with different label granularity (10 and 8 lineage classes; 51 and 22 cluster labels), so the coarse/fine asymmetry between species is partly definitional; the shifted-window, interpolation, and random-split controls are zebrafish-only. Fourth, the bootstrap is over biological replicates (24 test fish, mouse embryos) and we report many contrasts without multiplicity correction; we mitigate by emphasizing effect sizes with confidence intervals and by requiring replication across species and controls before any conclusion is stated. Fifth, perturbation-response evaluation (GEARS, Roohani et al., 2024; the Virtual Embryo Challenge) is deliberately outside the scope of this temporal-extrapolation manuscript and is retained as a follow-up project rather than presented as completed work.</w:t>
      </w:r>
    </w:p>
    <w:bookmarkEnd w:id="26"/>
    <w:bookmarkStart w:id="27" w:name="conclusion"/>
    <w:p>
      <w:pPr>
        <w:pStyle w:val="Heading2"/>
      </w:pPr>
      <w:r>
        <w:t xml:space="preserve">5 Conclusion</w:t>
      </w:r>
    </w:p>
    <w:p>
      <w:pPr>
        <w:pStyle w:val="FirstParagraph"/>
      </w:pPr>
      <w:r>
        <w:t xml:space="preserve">Under matched, time-split evaluation, current virtual-cell models transfer developmental identity at lineage level, with a measurable, species- and read-out-dependent premium for native pretraining, but do not extrapolate fine-grained identity in any model, in either species, and cannot detect the states that defeat them. Prospective state prediction remains one of the discipline’s stated grand challenges (Lähnemann et al., 2020); what this benchmark adds is a measuring device for it. The splits, embeddings, evaluation code, and provenance released with this paper make those properties cheap to re-measure, and cheap to re-falsify, as the next generation of virtual cells arrives.</w:t>
      </w:r>
    </w:p>
    <w:bookmarkEnd w:id="27"/>
    <w:bookmarkStart w:id="28" w:name="acknowledgements"/>
    <w:p>
      <w:pPr>
        <w:pStyle w:val="Heading2"/>
      </w:pPr>
      <w:r>
        <w:t xml:space="preserve">Acknowledgements</w:t>
      </w:r>
    </w:p>
    <w:p>
      <w:pPr>
        <w:pStyle w:val="FirstParagraph"/>
      </w:pPr>
      <w:r>
        <w:t xml:space="preserve">The authors thank the Zebrahub and Pijuan-Sala groups for public atlases, and the Arc Institute, CZI, and the UCE (Rosen et al.) team for open model releases.</w:t>
      </w:r>
    </w:p>
    <w:bookmarkEnd w:id="28"/>
    <w:bookmarkStart w:id="29" w:name="author-contributions"/>
    <w:p>
      <w:pPr>
        <w:pStyle w:val="Heading2"/>
      </w:pPr>
      <w:r>
        <w:t xml:space="preserve">Author contributions</w:t>
      </w:r>
    </w:p>
    <w:p>
      <w:pPr>
        <w:pStyle w:val="FirstParagraph"/>
      </w:pPr>
      <w:r>
        <w:t xml:space="preserve">To be completed at submission (CRediT taxonomy: conceptualization, methodology, software, investigation, writing, supervision as applicable).</w:t>
      </w:r>
    </w:p>
    <w:bookmarkEnd w:id="29"/>
    <w:bookmarkStart w:id="30" w:name="funding"/>
    <w:p>
      <w:pPr>
        <w:pStyle w:val="Heading2"/>
      </w:pPr>
      <w:r>
        <w:t xml:space="preserve">Funding</w:t>
      </w:r>
    </w:p>
    <w:p>
      <w:pPr>
        <w:pStyle w:val="FirstParagraph"/>
      </w:pPr>
      <w:r>
        <w:t xml:space="preserve">This work received no specific external funding for the reported analysis.</w:t>
      </w:r>
    </w:p>
    <w:bookmarkEnd w:id="30"/>
    <w:bookmarkStart w:id="31" w:name="conflict-of-interest"/>
    <w:p>
      <w:pPr>
        <w:pStyle w:val="Heading2"/>
      </w:pPr>
      <w:r>
        <w:t xml:space="preserve">Conflict of interest</w:t>
      </w:r>
    </w:p>
    <w:p>
      <w:pPr>
        <w:pStyle w:val="FirstParagraph"/>
      </w:pPr>
      <w:r>
        <w:t xml:space="preserve">None declared.</w:t>
      </w:r>
    </w:p>
    <w:bookmarkEnd w:id="31"/>
    <w:bookmarkStart w:id="32" w:name="data-availability"/>
    <w:p>
      <w:pPr>
        <w:pStyle w:val="Heading2"/>
      </w:pPr>
      <w:r>
        <w:t xml:space="preserve">Data availability</w:t>
      </w:r>
    </w:p>
    <w:p>
      <w:pPr>
        <w:pStyle w:val="Compact"/>
        <w:numPr>
          <w:ilvl w:val="0"/>
          <w:numId w:val="1001"/>
        </w:numPr>
      </w:pPr>
      <w:r>
        <w:t xml:space="preserve">Zebrahub atlas: https://zebrahub.sf.czbiohub.org/ (release v4 h5ad).</w:t>
      </w:r>
    </w:p>
    <w:p>
      <w:pPr>
        <w:pStyle w:val="Compact"/>
        <w:numPr>
          <w:ilvl w:val="0"/>
          <w:numId w:val="1001"/>
        </w:numPr>
      </w:pPr>
      <w:r>
        <w:t xml:space="preserve">Mouse gastrulation: ArrayExpress accession E-MTAB-6967.</w:t>
      </w:r>
    </w:p>
    <w:p>
      <w:pPr>
        <w:pStyle w:val="Compact"/>
        <w:numPr>
          <w:ilvl w:val="0"/>
          <w:numId w:val="1001"/>
        </w:numPr>
      </w:pPr>
      <w:r>
        <w:t xml:space="preserve">Models: STATE SE-600M, TranscriptFormer tf-metazoa, Geneformer V1-10M and UCE 4-layer CXG (official releases; see references). UCE weights were retrieved from the Hugging Face mirror</w:t>
      </w:r>
      <w:r>
        <w:t xml:space="preserve"> </w:t>
      </w:r>
      <w:r>
        <w:rPr>
          <w:rStyle w:val="VerbatimChar"/>
        </w:rPr>
        <w:t xml:space="preserve">lza1/uce_hf</w:t>
      </w:r>
      <w:r>
        <w:t xml:space="preserve"> </w:t>
      </w:r>
      <w:r>
        <w:t xml:space="preserve">after figshare bot-blocking; checksums are recorded in the provenance manifest.</w:t>
      </w:r>
    </w:p>
    <w:p>
      <w:pPr>
        <w:pStyle w:val="Compact"/>
        <w:numPr>
          <w:ilvl w:val="0"/>
          <w:numId w:val="1001"/>
        </w:numPr>
      </w:pPr>
      <w:r>
        <w:t xml:space="preserve">All analysis scripts in</w:t>
      </w:r>
      <w:r>
        <w:t xml:space="preserve"> </w:t>
      </w:r>
      <w:r>
        <w:rPr>
          <w:rStyle w:val="VerbatimChar"/>
        </w:rPr>
        <w:t xml:space="preserve">src/</w:t>
      </w:r>
      <w:r>
        <w:t xml:space="preserve">, processed splits, embedding files, result JSONs, tables, figures, environment snapshots and provenance metadata are included in the project archive. A public repository DOI will be added before submission.</w:t>
      </w:r>
    </w:p>
    <w:bookmarkEnd w:id="32"/>
    <w:bookmarkStart w:id="33" w:name="references"/>
    <w:p>
      <w:pPr>
        <w:pStyle w:val="Heading2"/>
      </w:pPr>
      <w:r>
        <w:t xml:space="preserve">References</w:t>
      </w:r>
    </w:p>
    <w:p>
      <w:pPr>
        <w:pStyle w:val="FirstParagraph"/>
      </w:pPr>
      <w:r>
        <w:t xml:space="preserve">Ahlmann-Eltze C, Huber W, Anders S. Deep-learning-based gene perturbation effect prediction does not yet outperform simple linear baselines. Nat Methods 2025;22:1657-1661.</w:t>
      </w:r>
    </w:p>
    <w:p>
      <w:pPr>
        <w:pStyle w:val="BodyText"/>
      </w:pPr>
      <w:r>
        <w:t xml:space="preserve">Arc Institute (2025) SE-600M model checkpoint and arc-state inference software (v0.11.1, PyPI). https://huggingface.co/arcinstitute/SE-600M [software record; cite as released].</w:t>
      </w:r>
    </w:p>
    <w:p>
      <w:pPr>
        <w:pStyle w:val="BodyText"/>
      </w:pPr>
      <w:r>
        <w:t xml:space="preserve">Bunne C, Roohani Y, Rosen Y et al. How to build the virtual cell with artificial intelligence: priorities and opportunities. Cell 2024;187:7045-7063.</w:t>
      </w:r>
    </w:p>
    <w:p>
      <w:pPr>
        <w:pStyle w:val="BodyText"/>
      </w:pPr>
      <w:r>
        <w:t xml:space="preserve">Cao J, Spielmann M, Qiu X et al. The single-cell transcriptional landscape of mammalian organogenesis. Nature 2019;566:496-502.</w:t>
      </w:r>
    </w:p>
    <w:p>
      <w:pPr>
        <w:pStyle w:val="BodyText"/>
      </w:pPr>
      <w:r>
        <w:t xml:space="preserve">Cui H, Wang C, Maan H et al. scGPT: toward building a foundation model for single-cell multi-omics using generative AI. Nat Methods 2024;21:1470-1480.</w:t>
      </w:r>
    </w:p>
    <w:p>
      <w:pPr>
        <w:pStyle w:val="BodyText"/>
      </w:pPr>
      <w:r>
        <w:t xml:space="preserve">DenAdel A, Hughes M, Thoutam A et al. Evaluating the role of pretraining dataset size and diversity on single-cell foundation model performance. Nat Methods 2026;23:1447-1457.</w:t>
      </w:r>
    </w:p>
    <w:p>
      <w:pPr>
        <w:pStyle w:val="BodyText"/>
      </w:pPr>
      <w:r>
        <w:t xml:space="preserve">Domínguez Conde C, Xu C, Jarvis LB et al. Cross-tissue immune cell analysis reveals tissue-specific features in humans. Science 2022;376:eabl5197.</w:t>
      </w:r>
    </w:p>
    <w:p>
      <w:pPr>
        <w:pStyle w:val="BodyText"/>
      </w:pPr>
      <w:r>
        <w:t xml:space="preserve">Gayoso A, Lopez R, Xing G et al. A Python library for probabilistic analysis of single-cell omics data. Nat Biotechnol 2022;40:163-166.</w:t>
      </w:r>
    </w:p>
    <w:p>
      <w:pPr>
        <w:pStyle w:val="BodyText"/>
      </w:pPr>
      <w:r>
        <w:t xml:space="preserve">Hao M, Wei L, Yang F et al. Current opinions on large cellular models. Quant Biol 2024;12:433-443.</w:t>
      </w:r>
    </w:p>
    <w:p>
      <w:pPr>
        <w:pStyle w:val="BodyText"/>
      </w:pPr>
      <w:r>
        <w:t xml:space="preserve">Huang K, Zhang S, Wang H et al. Biomni: a general-purpose biomedical AI agent. bioRxiv 2025;2025.05.30.656746.</w:t>
      </w:r>
    </w:p>
    <w:p>
      <w:pPr>
        <w:pStyle w:val="BodyText"/>
      </w:pPr>
      <w:r>
        <w:t xml:space="preserve">Kiselev VY, Andrews TS, Hemberg M. Challenges in unsupervised clustering of single-cell RNA-seq data. Nat Rev Genet 2019;20:273-282.</w:t>
      </w:r>
    </w:p>
    <w:p>
      <w:pPr>
        <w:pStyle w:val="BodyText"/>
      </w:pPr>
      <w:r>
        <w:t xml:space="preserve">Korsunsky I, Millard N, Fan J et al. Fast, sensitive and accurate integration of single-cell data with Harmony. Nat Methods 2019;16:1289-1296.</w:t>
      </w:r>
    </w:p>
    <w:p>
      <w:pPr>
        <w:pStyle w:val="BodyText"/>
      </w:pPr>
      <w:r>
        <w:t xml:space="preserve">La Manno G, Soldatov R, Zeisel A et al. RNA velocity of single cells. Nature 2018;560:494-498.</w:t>
      </w:r>
    </w:p>
    <w:p>
      <w:pPr>
        <w:pStyle w:val="BodyText"/>
      </w:pPr>
      <w:r>
        <w:t xml:space="preserve">Lähnemann D, Köster J, Szczurek E et al. Eleven grand challenges in single-cell data science. Genome Biol 2020;21:31.</w:t>
      </w:r>
    </w:p>
    <w:p>
      <w:pPr>
        <w:pStyle w:val="BodyText"/>
      </w:pPr>
      <w:r>
        <w:t xml:space="preserve">Lange M, Bergen V, Klein M et al. CellRank for directed single-cell fate mapping. Nat Methods 2022;19:159-170.</w:t>
      </w:r>
    </w:p>
    <w:p>
      <w:pPr>
        <w:pStyle w:val="BodyText"/>
      </w:pPr>
      <w:r>
        <w:t xml:space="preserve">Lange M, Granados A, VijayKumar S et al. A multimodal zebrafish developmental atlas reveals the state-transition dynamics of late-vertebrate pluripotent axial progenitors. Cell 2024;187:6742-6759.e17.</w:t>
      </w:r>
    </w:p>
    <w:p>
      <w:pPr>
        <w:pStyle w:val="BodyText"/>
      </w:pPr>
      <w:r>
        <w:t xml:space="preserve">Lopez R, Regier J, Cole MB et al. Deep generative modeling for single-cell transcriptomics. Nat Methods 2018;15:1053-1058.</w:t>
      </w:r>
    </w:p>
    <w:p>
      <w:pPr>
        <w:pStyle w:val="BodyText"/>
      </w:pPr>
      <w:r>
        <w:t xml:space="preserve">Lotfollahi M, Naghipourfar M, Luecken MD et al. Mapping single-cell data to reference atlases by transfer learning. Nat Biotechnol 2022;40:121-130.</w:t>
      </w:r>
    </w:p>
    <w:p>
      <w:pPr>
        <w:pStyle w:val="BodyText"/>
      </w:pPr>
      <w:r>
        <w:t xml:space="preserve">Luecken MD, Büttner M, Chaichoompu K et al. Benchmarking atlas-level data integration in single-cell genomics. Nat Methods 2022;19:41-50.</w:t>
      </w:r>
    </w:p>
    <w:p>
      <w:pPr>
        <w:pStyle w:val="BodyText"/>
      </w:pPr>
      <w:r>
        <w:t xml:space="preserve">Pijuan-Sala B, Griffiths JA, Guibentif C et al. A single-cell molecular map of mouse gastrulation and early organogenesis. Nature 2019;566:490-495.</w:t>
      </w:r>
    </w:p>
    <w:p>
      <w:pPr>
        <w:pStyle w:val="BodyText"/>
      </w:pPr>
      <w:r>
        <w:t xml:space="preserve">Qiu P, Chen Q, Qin H et al. BioLLM: a standardized framework for integrating and benchmarking single-cell foundation models. Patterns 2025;6:101326.</w:t>
      </w:r>
    </w:p>
    <w:p>
      <w:pPr>
        <w:pStyle w:val="BodyText"/>
      </w:pPr>
      <w:r>
        <w:t xml:space="preserve">Roohani Y, Huang K, Leskovec J. Predicting transcriptional outcomes of novel multigene perturbations with GEARS. Nat Biotechnol 2024;42:927-935.</w:t>
      </w:r>
    </w:p>
    <w:p>
      <w:pPr>
        <w:pStyle w:val="BodyText"/>
      </w:pPr>
      <w:r>
        <w:t xml:space="preserve">Rosen Y, Roohani Y, Agrawal A et al. Universal cell embedding provides a foundation model for cell biology. Nature 2026;656:183-191.</w:t>
      </w:r>
    </w:p>
    <w:p>
      <w:pPr>
        <w:pStyle w:val="BodyText"/>
      </w:pPr>
      <w:r>
        <w:t xml:space="preserve">Stuart T, Butler A, Hoffman P et al. Comprehensive integration of single-cell data. Cell 2019;177:1888-1902.e21.</w:t>
      </w:r>
    </w:p>
    <w:p>
      <w:pPr>
        <w:pStyle w:val="BodyText"/>
      </w:pPr>
      <w:r>
        <w:t xml:space="preserve">Theodoris CV, Xiao L, Chopra A et al. Transfer learning enables predictions in network biology. Nature 2023;618:616-624.</w:t>
      </w:r>
    </w:p>
    <w:p>
      <w:pPr>
        <w:pStyle w:val="BodyText"/>
      </w:pPr>
      <w:r>
        <w:t xml:space="preserve">Theunissen L, Mortier T, Saeys Y et al. Evaluation of out-of-distribution detection methods for data shifts in single-cell transcriptomics. Brief Bioinform 2025;26:bbaf239.</w:t>
      </w:r>
    </w:p>
    <w:p>
      <w:pPr>
        <w:pStyle w:val="BodyText"/>
      </w:pPr>
      <w:r>
        <w:t xml:space="preserve">TranscriptFormer cross-species foundation model (2026) bioRxiv 2025.04.25.650731; published as Science, DOI 10.1126/science.aec8514 [full author list and pages to be completed at submission].</w:t>
      </w:r>
    </w:p>
    <w:p>
      <w:pPr>
        <w:pStyle w:val="BodyText"/>
      </w:pPr>
      <w:r>
        <w:t xml:space="preserve">Wang Q, Pan Y, Zhou M et al. scDrugMap: benchmarking large foundation models for drug response prediction. arXiv:2505.05612 (2025).</w:t>
      </w:r>
    </w:p>
    <w:p>
      <w:pPr>
        <w:pStyle w:val="BodyText"/>
      </w:pPr>
      <w:r>
        <w:t xml:space="preserve">Wolf FA, Angerer P, Theis FJ. SCANPY: large-scale single-cell gene expression data analysis. Genome Biol 2018;19:15.</w:t>
      </w:r>
    </w:p>
    <w:p>
      <w:pPr>
        <w:pStyle w:val="BodyText"/>
      </w:pPr>
      <w:r>
        <w:t xml:space="preserve">Yang X, Liu G, Feng G et al. GeneCompass: deciphering universal gene regulatory mechanisms with a knowledge-informed cross-species foundation model. Cell Res 2024;34:830-845.</w:t>
      </w:r>
    </w:p>
    <w:bookmarkEnd w:id="33"/>
    <w:bookmarkStart w:id="34" w:name="table-and-figure-legends"/>
    <w:p>
      <w:pPr>
        <w:pStyle w:val="Heading2"/>
      </w:pPr>
      <w:r>
        <w:t xml:space="preserve">Table and figure legends</w:t>
      </w:r>
    </w:p>
    <w:p>
      <w:pPr>
        <w:pStyle w:val="FirstParagraph"/>
      </w:pPr>
      <w:r>
        <w:rPr>
          <w:b/>
          <w:bCs/>
        </w:rPr>
        <w:t xml:space="preserve">Table 1. Zebrafish benchmark (Zebrahub time split).</w:t>
      </w:r>
      <w:r>
        <w:t xml:space="preserve"> </w:t>
      </w:r>
      <w:r>
        <w:t xml:space="preserve">Accuracy of every method under the identical protocol: frozen embeddings scored by kNN reference mapping (k = 15, cosine, distance-weighted; Section 2.4). The Adaptation column states the test-time protocol (frozen, transductive, or surgery variant; Section 2.3) and the Input-genes column the harmonization matrix consumed by each model. 95% CIs are percentile bootstraps over the 24 test fish; scVI is reported as mean ± SD over three seeds; the Summary-statistic column records which is shown per row.</w:t>
      </w:r>
    </w:p>
    <w:p>
      <w:pPr>
        <w:pStyle w:val="BodyText"/>
      </w:pPr>
      <w:r>
        <w:rPr>
          <w:b/>
          <w:bCs/>
        </w:rPr>
        <w:t xml:space="preserve">Table 2. Mouse benchmark (E-MTAB-6967 time split).</w:t>
      </w:r>
      <w:r>
        <w:t xml:space="preserve"> </w:t>
      </w:r>
      <w:r>
        <w:t xml:space="preserve">As Table 1, with bootstraps over embryos. The scVI row is the fully-unfrozen query-training variant, summarized as mean ± SD over three seeds.</w:t>
      </w:r>
    </w:p>
    <w:p>
      <w:pPr>
        <w:pStyle w:val="BodyText"/>
      </w:pPr>
      <w:r>
        <w:rPr>
          <w:b/>
          <w:bCs/>
        </w:rPr>
        <w:t xml:space="preserve">Supplementary Tables S1–S9.</w:t>
      </w:r>
      <w:r>
        <w:t xml:space="preserve"> </w:t>
      </w:r>
      <w:r>
        <w:t xml:space="preserve">S1 reports full metrics for both datasets (accuracy, balanced accuracy, macro-F1 across the lineage, shared-cluster and novel-cluster tasks), with the adaptation protocol and summary statistic explicit per row. S2 reports long-format in-distribution controls;</w:t>
      </w:r>
      <w:r>
        <w:t xml:space="preserve"> </w:t>
      </w:r>
      <w:r>
        <w:rPr>
          <w:rStyle w:val="VerbatimChar"/>
        </w:rPr>
        <w:t xml:space="preserve">n_cells_total</w:t>
      </w:r>
      <w:r>
        <w:t xml:space="preserve"> </w:t>
      </w:r>
      <w:r>
        <w:t xml:space="preserve">is the total number of cells at a timepoint, not the held-out 20% query count. S3 reports global and per-timepoint OOD AUROC; NA denotes not applicable to that species or timepoint. S4 reports k-sensitivity (k ∈ {5, 15, 30}) for single runs or seed 42, with fixed majority baselines included. S5 reports measured wall-time and memory;</w:t>
      </w:r>
      <w:r>
        <w:t xml:space="preserve"> </w:t>
      </w:r>
      <w:r>
        <w:t xml:space="preserve">“not recorded”</w:t>
      </w:r>
      <w:r>
        <w:t xml:space="preserve"> </w:t>
      </w:r>
      <w:r>
        <w:t xml:space="preserve">denotes a missing measurement rather than zero. S6 reports novel-cluster marker summaries with an explicit cluster_id column, together with the module-score validation (Section 3.4). S7 pairs kNN and linear-probe metrics on identical frozen embeddings (Section 3.8). S8 reports the shifted-window sweep and interpolation control, one block per window (window layout, majority baselines, then per-model lineage and shared-cluster accuracy with the by-fish 95% CI and the per-timepoint 19-hpf value where defined; Section 3.9). S9 reports the random-split ceiling comparison (time-split reference versus random 80/20, lineage and shared-cluster accuracy, with deltas; Section 3.9). Machine-readable versions of all tables ship with the repository (Data and code availability).</w:t>
      </w:r>
    </w:p>
    <w:p>
      <w:pPr>
        <w:pStyle w:val="BodyText"/>
      </w:pPr>
      <w:r>
        <w:rPr>
          <w:b/>
          <w:bCs/>
        </w:rPr>
        <w:t xml:space="preserve">Figure 1. Benchmark design.</w:t>
      </w:r>
      <w:r>
        <w:t xml:space="preserve"> </w:t>
      </w:r>
      <w:r>
        <w:t xml:space="preserve">(A) Time-split protocol. Each row of chips lays one atlas along developmental time: blue chips enter training, orange chips form the test set. Top, Zebrahub (ten stages, 10 hpf–10 dpf; train 18,109 cells from 16 fish, test 102,335 cells from 24 fish); bottom, mouse gastrulation E-MTAB-6967 (nine stages, E6.5–E8.5; train 20,308 cells, test 88,549 cells). No fish or embryo contributes to both splits; HVGs are selected on train only; late states are withheld entirely. (B) Evaluation pipeline. Raw atlases (counts plus lineage and cluster labels) pass through gene harmonization (2,581 ortholog-derived human symbols; native identifiers for TranscriptFormer) into seven frozen models (PCA, Harmony, scVI, STATE, UCE, Geneformer, TranscriptFormer), together with the adaptation variants (default scArches surgery and fully-unfrozen query training); a single cosine kNN transfer (k = 15, distance-weighted) feeds three task families: coarse lineage transfer with bootstrap CIs, fine-grained shared-cluster identity against the majority baseline, and controls and diagnostics (in-distribution 80/20, OOD AUROC from 15-NN distances, confusion structure, k-sensitivity). The panel footnote records the gene-set control (TranscriptFormer re-embedded on the 2,994 recoverable native genes) and the robustness checks (k ∈ {5, 15, 30}; three scVI seeds; unified 2,581-gene input).</w:t>
      </w:r>
    </w:p>
    <w:p>
      <w:pPr>
        <w:pStyle w:val="BodyText"/>
      </w:pPr>
      <w:r>
        <w:rPr>
          <w:b/>
          <w:bCs/>
        </w:rPr>
        <w:t xml:space="preserve">Figure 2. Temporal-extrapolation benchmark across two embryos.</w:t>
      </w:r>
      <w:r>
        <w:t xml:space="preserve"> </w:t>
      </w:r>
      <w:r>
        <w:t xml:space="preserve">Bars give kNN-read-out accuracy (k = 15); black whiskers are 95% bootstrap CIs over test fish (A–D) or embryos (E, F); point estimates are quoted above each bar; dashed black lines mark the training-split majority baseline, with its value quoted in each panel’s grey corner annotation alongside the species and split. (A) Zebrafish (train 10–16 hpf → test 19 hpf–10 dpf) lineage accuracy (10 classes) for the majority baseline, all seven primary methods, and the fully-unfrozen scVI variant (a protocol extension, not a seventh base model); TranscriptFormer’s tick label is bold throughout the figure, marking the species natively represented in its pretraining vocabulary. (B) Zebrafish shared-cluster accuracy (29 labels; vertical axis truncated at ≈0.23 for readability): every frozen primary method falls below the 0.100 majority baseline. (C) Zebrafish lineage accuracy per test timepoint (19 hpf–10 dpf) for the seven primary methods. (D) Zebrafish shared-cluster accuracy: solid lines, within-timepoint in-distribution 80/20 controls (STATE, PCA-50, TranscriptFormer; ten timepoints); dashed horizontal lines, the same three methods’ cross-time extrapolation values: identity is encoded in-distribution (0.89–0.98) but not extrapolated (0.040–0.046). (E, F) Mouse equivalents (train E6.5–E7.0 → test E7.25–E8.5): lineage accuracy over 8 classes (E) and shared-cluster accuracy over 11 labels (F) for PCA-50, Harmony, the fully-unfrozen scVI variant (mean ± SD over three seeds; no frozen scVI arm was run on mouse), UCE and TranscriptFormer (bold). Every method again falls below the mouse shared-cluster majority (0.117).</w:t>
      </w:r>
    </w:p>
    <w:p>
      <w:pPr>
        <w:pStyle w:val="BodyText"/>
      </w:pPr>
      <w:r>
        <w:rPr>
          <w:b/>
          <w:bCs/>
        </w:rPr>
        <w:t xml:space="preserve">Figure 3. Embedding geometry of the temporal split.</w:t>
      </w:r>
      <w:r>
        <w:t xml:space="preserve"> </w:t>
      </w:r>
      <w:r>
        <w:t xml:space="preserve">(A–G) UMAP of the full 120,444-cell embedding for each primary model, fitted independently with identical parameters (</w:t>
      </w:r>
      <w:r>
        <w:rPr>
          <w:rStyle w:val="VerbatimChar"/>
        </w:rPr>
        <w:t xml:space="preserve">scanpy.pp.neighbors</w:t>
      </w:r>
      <w:r>
        <w:t xml:space="preserve">, k = 15, seed 42); top row, classical methods (PCA-50, Harmony, scVI); bottom row, foundation models (STATE SE-600M, UCE, Geneformer V1, TranscriptFormer). Cells are coloured by developmental-stage group: grey, training window (10–16 hpf); amber, 19–24 hpf; red, 2–3 dpf; blue, 5–10 dpf. The black arrow joins the training-window centroid to the late-test (5–10 dpf) centroid in each map, visualizing how far future embryos drift off the reference manifold; direction is embedding-specific (in STATE, for example, the late centroid falls on the opposite side of the map). Late stages occupy map regions outside the training window in every panel, but their distance to it varies by model; compare PCA-50 (A) with TranscriptFormer (G). The centroid displacement is significant for every model in the original embedding space (one-sided permutation, B = 1,000, p = 0.001), with drift indices from 1.7 (Harmony) to 16.8 (TranscriptFormer) (Section 3.3).</w:t>
      </w:r>
    </w:p>
    <w:p>
      <w:pPr>
        <w:pStyle w:val="BodyText"/>
      </w:pPr>
      <w:r>
        <w:rPr>
          <w:b/>
          <w:bCs/>
        </w:rPr>
        <w:t xml:space="preserve">Figure 4. Late-timepoint confusion structure.</w:t>
      </w:r>
      <w:r>
        <w:t xml:space="preserve"> </w:t>
      </w:r>
      <w:r>
        <w:t xml:space="preserve">Row-normalized confusion matrices of true (rows) versus predicted (columns) zebrafish lineage for STATE SE-600M (A) and TranscriptFormer (B), pooling query cells from the four test stages most distant from the 10–16 hpf training window (2, 3, 5 and 10 dpf). Cells ≥ 0.02 are annotated; colour intensity encodes the row fraction. Orange-red rectangles mark the three largest off-diagonal error flows per model: for STATE, neural crest → central nervous system (0.64), paraxial mesoderm → lateral mesoderm (0.38) and mesenchyme → lateral mesoderm (0.32); for TranscriptFormer, paraxial mesoderm → mesenchyme (0.56), neural crest → mesenchyme (0.43) and neural crest → central nervous system (0.19). Errors concentrate between developmental neighbour fates rather than unrelated lineages (Section 3.4).</w:t>
      </w:r>
    </w:p>
    <w:p>
      <w:pPr>
        <w:pStyle w:val="BodyText"/>
      </w:pPr>
      <w:r>
        <w:rPr>
          <w:b/>
          <w:bCs/>
        </w:rPr>
        <w:t xml:space="preserve">Supplementary Figure S1. Distribution-shift diagnostics.</w:t>
      </w:r>
      <w:r>
        <w:t xml:space="preserve"> </w:t>
      </w:r>
      <w:r>
        <w:t xml:space="preserve">(A) In-distribution ceiling versus cross-time extrapolation of shared-cluster accuracy, one row per model with in-distribution controls (PCA-50, STATE SE-600M, UCE, Geneformer V1, TranscriptFormer), sorted by fold gap. Filled dots give each model’s median within-timepoint accuracy under the identical kNN probe across the ten zebrafish timepoints (in-distribution 80/20; value quoted beside the dot); open dots give cross-time extrapolation on the main split; the</w:t>
      </w:r>
      <w:r>
        <w:t xml:space="preserve"> </w:t>
      </w:r>
      <w:r>
        <w:t xml:space="preserve">“N×”</w:t>
      </w:r>
      <w:r>
        <w:t xml:space="preserve"> </w:t>
      </w:r>
      <w:r>
        <w:t xml:space="preserve">label above each open dot is the resulting fold gap (23× TranscriptFormer, 21× PCA-50, 13× STATE, 13× UCE, 11× Geneformer). The dashed vertical line marks the 0.100 shared-cluster majority baseline. The in-distribution value acts as each model’s own retrieval ceiling: the gap to the open dot is the extrapolation deficit itself. (B, C) OOD-detection quality: mean 15-NN distance to the training set as an outlier score for novel- versus shared-cluster cells, shown per test timepoint for zebrafish (B; STATE SE-600M, TranscriptFormer, Geneformer V1, UCE) and per stage for mouse (C; TranscriptFormer and UCE). Circle area scales with the number of novel-cluster cells at that timepoint or stage; colour encodes AUROC on the red–blue diverging scale (red ≈ chance 0.5, blue ≈ strong detection), with values quoted beside each circle. Values swing widely across stages (0.39–0.93 across zebrafish timepoints in B; 0.19–0.82 across mouse stages in C), while global values sit near 0.60–0.66: detection does not concentrate where novel-cell mass is largest (Section 3.5).</w:t>
      </w:r>
    </w:p>
    <w:p>
      <w:pPr>
        <w:pStyle w:val="BodyText"/>
      </w:pPr>
      <w:r>
        <w:rPr>
          <w:b/>
          <w:bCs/>
        </w:rPr>
        <w:t xml:space="preserve">Supplementary Figure S2. Split-robustness controls.</w:t>
      </w:r>
      <w:r>
        <w:t xml:space="preserve"> </w:t>
      </w:r>
      <w:r>
        <w:t xml:space="preserve">(A, B) Zebrafish lineage accuracy (A) and shared-cluster accuracy (B) as the training right endpoint moves from 16 to 19, 24 and 72 hpf (horizontal axis; test = all later stages). Frozen-model embeddings are re-probed unchanged; PCA, Harmony and scVI are retrained per window (scVI frozen protocol, seed 42); the grey dashed line is the per-window majority baseline (labelled</w:t>
      </w:r>
      <w:r>
        <w:t xml:space="preserve"> </w:t>
      </w:r>
      <w:r>
        <w:t xml:space="preserve">“majority”</w:t>
      </w:r>
      <w:r>
        <w:t xml:space="preserve">). Model colours follow Figure 2 (shared legend above the panels). (C) Interpolation control on the same 5,899 19-hpf test cells: for each model a vertical segment joins the extrapolative training value (open circle; train ≤ 16 hpf, the main split) to the interpolation value (filled circle; train additionally contains the 24-hpf stage); signed annotations give the change (interpolation minus extrapolation). Columns are ordered by extrapolation accuracy;</w:t>
      </w:r>
      <w:r>
        <w:t xml:space="preserve"> </w:t>
      </w:r>
      <w:r>
        <w:t xml:space="preserve">“(native)”</w:t>
      </w:r>
      <w:r>
        <w:t xml:space="preserve"> </w:t>
      </w:r>
      <w:r>
        <w:t xml:space="preserve">marks models natively pretrained on the benchmark species. The four strongest foundation models are unchanged (Δ ≤ +0.013) while PCA (−0.47), Harmony (−0.51) and Geneformer (−0.16) degrade. (D, E) Random-split ceiling: paired horizontal bars per model give accuracy under the temporal split (solid; train ≤ 16 hpf) and a random 80/20 cell split (hatched) on the same cells and protocol, for lineage (D) and shared-cluster accuracy (E); PCA, Harmony and scVI are retrained on the random split, and native-species models are set in bold. The gap, 9–21× on the cluster task, quantifies the optimism of same-distribution evaluation (Section 3.9, Supplementary Table S9).</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2026-09-05T12:22:27Z</dcterms:created>
  <dcterms:modified xsi:type="dcterms:W3CDTF">2026-09-05T12:22:27Z</dcterms:modified>
</cp:coreProperties>
</file>

<file path=docProps/custom.xml><?xml version="1.0" encoding="utf-8"?>
<Properties xmlns="http://schemas.openxmlformats.org/officeDocument/2006/custom-properties" xmlns:vt="http://schemas.openxmlformats.org/officeDocument/2006/docPropsVTypes"/>
</file>