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C4886" w14:textId="77634EC7" w:rsidR="00EC0301" w:rsidRPr="006C1E40" w:rsidRDefault="00EC0301" w:rsidP="006C1E40">
      <w:pPr>
        <w:pStyle w:val="a4"/>
        <w:numPr>
          <w:ilvl w:val="0"/>
          <w:numId w:val="2"/>
        </w:numPr>
        <w:ind w:firstLineChars="0"/>
        <w:rPr>
          <w:rFonts w:ascii="Times New Roman" w:hAnsi="Times New Roman" w:cs="Times New Roman"/>
          <w:b/>
          <w:bCs/>
          <w:sz w:val="28"/>
          <w:szCs w:val="36"/>
        </w:rPr>
      </w:pPr>
      <w:bookmarkStart w:id="0" w:name="OLE_LINK1"/>
      <w:bookmarkStart w:id="1" w:name="OLE_LINK2"/>
      <w:r w:rsidRPr="006C1E40">
        <w:rPr>
          <w:rFonts w:ascii="Times New Roman" w:hAnsi="Times New Roman" w:cs="Times New Roman"/>
          <w:b/>
          <w:bCs/>
          <w:sz w:val="28"/>
          <w:szCs w:val="36"/>
        </w:rPr>
        <w:t>Task 2</w:t>
      </w:r>
      <w:r w:rsidR="002646C5" w:rsidRPr="006C1E40">
        <w:rPr>
          <w:rFonts w:ascii="Times New Roman" w:hAnsi="Times New Roman" w:cs="Times New Roman"/>
          <w:b/>
          <w:bCs/>
          <w:sz w:val="28"/>
          <w:szCs w:val="36"/>
        </w:rPr>
        <w:t>A</w:t>
      </w:r>
      <w:r w:rsidRPr="006C1E40">
        <w:rPr>
          <w:rFonts w:ascii="Times New Roman" w:hAnsi="Times New Roman" w:cs="Times New Roman"/>
          <w:b/>
          <w:bCs/>
          <w:sz w:val="28"/>
          <w:szCs w:val="36"/>
        </w:rPr>
        <w:t xml:space="preserve">: </w:t>
      </w:r>
    </w:p>
    <w:tbl>
      <w:tblPr>
        <w:tblStyle w:val="a3"/>
        <w:tblW w:w="0" w:type="auto"/>
        <w:tblLook w:val="04A0" w:firstRow="1" w:lastRow="0" w:firstColumn="1" w:lastColumn="0" w:noHBand="0" w:noVBand="1"/>
      </w:tblPr>
      <w:tblGrid>
        <w:gridCol w:w="1838"/>
        <w:gridCol w:w="1701"/>
        <w:gridCol w:w="4757"/>
      </w:tblGrid>
      <w:tr w:rsidR="00EC0301" w:rsidRPr="006C1E40" w14:paraId="73B962E9" w14:textId="77777777" w:rsidTr="002646C5">
        <w:tc>
          <w:tcPr>
            <w:tcW w:w="1838" w:type="dxa"/>
          </w:tcPr>
          <w:bookmarkEnd w:id="0"/>
          <w:bookmarkEnd w:id="1"/>
          <w:p w14:paraId="3FD1B032" w14:textId="39B8F8D4" w:rsidR="00EC0301" w:rsidRPr="006C1E40" w:rsidRDefault="00EC0301" w:rsidP="00EC0301">
            <w:pPr>
              <w:rPr>
                <w:rFonts w:ascii="Times New Roman" w:hAnsi="Times New Roman" w:cs="Times New Roman"/>
                <w:sz w:val="22"/>
                <w:szCs w:val="28"/>
              </w:rPr>
            </w:pPr>
            <w:r w:rsidRPr="006C1E40">
              <w:rPr>
                <w:rFonts w:ascii="Times New Roman" w:hAnsi="Times New Roman" w:cs="Times New Roman"/>
                <w:b/>
                <w:bCs/>
                <w:color w:val="0D0D0D"/>
                <w:sz w:val="22"/>
                <w:szCs w:val="22"/>
              </w:rPr>
              <w:t>Approximate Date</w:t>
            </w:r>
          </w:p>
        </w:tc>
        <w:tc>
          <w:tcPr>
            <w:tcW w:w="1701" w:type="dxa"/>
          </w:tcPr>
          <w:p w14:paraId="6A6152CA" w14:textId="7CAFF76C" w:rsidR="00EC0301" w:rsidRPr="006C1E40" w:rsidRDefault="00EC0301" w:rsidP="00EC0301">
            <w:pPr>
              <w:rPr>
                <w:rFonts w:ascii="Times New Roman" w:hAnsi="Times New Roman" w:cs="Times New Roman"/>
                <w:sz w:val="22"/>
                <w:szCs w:val="28"/>
              </w:rPr>
            </w:pPr>
            <w:r w:rsidRPr="006C1E40">
              <w:rPr>
                <w:rFonts w:ascii="Times New Roman" w:hAnsi="Times New Roman" w:cs="Times New Roman"/>
                <w:b/>
                <w:bCs/>
                <w:color w:val="0D0D0D"/>
                <w:sz w:val="22"/>
                <w:szCs w:val="22"/>
              </w:rPr>
              <w:t>Information Source</w:t>
            </w:r>
          </w:p>
        </w:tc>
        <w:tc>
          <w:tcPr>
            <w:tcW w:w="4757" w:type="dxa"/>
          </w:tcPr>
          <w:p w14:paraId="32B20D6A" w14:textId="17D13827" w:rsidR="00EC0301" w:rsidRPr="006C1E40" w:rsidRDefault="00EC0301" w:rsidP="00EC0301">
            <w:pPr>
              <w:rPr>
                <w:rFonts w:ascii="Times New Roman" w:hAnsi="Times New Roman" w:cs="Times New Roman"/>
                <w:sz w:val="22"/>
                <w:szCs w:val="28"/>
              </w:rPr>
            </w:pPr>
            <w:r w:rsidRPr="006C1E40">
              <w:rPr>
                <w:rFonts w:ascii="Times New Roman" w:hAnsi="Times New Roman" w:cs="Times New Roman"/>
                <w:b/>
                <w:bCs/>
                <w:color w:val="0D0D0D"/>
                <w:sz w:val="22"/>
                <w:szCs w:val="22"/>
              </w:rPr>
              <w:t>Description of Data or Information</w:t>
            </w:r>
          </w:p>
        </w:tc>
      </w:tr>
      <w:tr w:rsidR="002646C5" w:rsidRPr="006C1E40" w14:paraId="1E1437C2" w14:textId="77777777" w:rsidTr="002646C5">
        <w:tc>
          <w:tcPr>
            <w:tcW w:w="1838" w:type="dxa"/>
            <w:vAlign w:val="bottom"/>
          </w:tcPr>
          <w:p w14:paraId="02CF3D0C" w14:textId="4C33CF98"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Early 1951</w:t>
            </w:r>
          </w:p>
        </w:tc>
        <w:tc>
          <w:tcPr>
            <w:tcW w:w="1701" w:type="dxa"/>
            <w:vAlign w:val="bottom"/>
          </w:tcPr>
          <w:p w14:paraId="63659DF8" w14:textId="7AAFDBB2"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Linus Pauling's work</w:t>
            </w:r>
          </w:p>
        </w:tc>
        <w:tc>
          <w:tcPr>
            <w:tcW w:w="4757" w:type="dxa"/>
            <w:vAlign w:val="bottom"/>
          </w:tcPr>
          <w:p w14:paraId="4C6A1E2B" w14:textId="478C47EE"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Inspiration from Pauling's alpha-helix structure in proteins, applying the concept of helical structures to other biological macromolecules.</w:t>
            </w:r>
          </w:p>
        </w:tc>
      </w:tr>
      <w:tr w:rsidR="002646C5" w:rsidRPr="006C1E40" w14:paraId="4F0063A0" w14:textId="77777777" w:rsidTr="002646C5">
        <w:tc>
          <w:tcPr>
            <w:tcW w:w="1838" w:type="dxa"/>
            <w:vAlign w:val="bottom"/>
          </w:tcPr>
          <w:p w14:paraId="753DD507" w14:textId="6BB0507F"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1951</w:t>
            </w:r>
          </w:p>
        </w:tc>
        <w:tc>
          <w:tcPr>
            <w:tcW w:w="1701" w:type="dxa"/>
            <w:vAlign w:val="bottom"/>
          </w:tcPr>
          <w:p w14:paraId="60225B63" w14:textId="660D0C93"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Maurice Wilkins</w:t>
            </w:r>
          </w:p>
        </w:tc>
        <w:tc>
          <w:tcPr>
            <w:tcW w:w="4757" w:type="dxa"/>
            <w:vAlign w:val="bottom"/>
          </w:tcPr>
          <w:p w14:paraId="2118C9BF" w14:textId="1DA84795"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Informal discussions about DNA structure and X-ray diffraction techniques, which highlighted the importance of X-ray crystallography.</w:t>
            </w:r>
          </w:p>
        </w:tc>
      </w:tr>
      <w:tr w:rsidR="002646C5" w:rsidRPr="006C1E40" w14:paraId="4C348268" w14:textId="77777777" w:rsidTr="002646C5">
        <w:tc>
          <w:tcPr>
            <w:tcW w:w="1838" w:type="dxa"/>
            <w:vAlign w:val="bottom"/>
          </w:tcPr>
          <w:p w14:paraId="75BA0A0E" w14:textId="5BCEF359"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1951</w:t>
            </w:r>
          </w:p>
        </w:tc>
        <w:tc>
          <w:tcPr>
            <w:tcW w:w="1701" w:type="dxa"/>
            <w:vAlign w:val="bottom"/>
          </w:tcPr>
          <w:p w14:paraId="7D20A0E9" w14:textId="2D5A7D77"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Rosalind Franklin's X-ray diffraction work</w:t>
            </w:r>
          </w:p>
        </w:tc>
        <w:tc>
          <w:tcPr>
            <w:tcW w:w="4757" w:type="dxa"/>
            <w:vAlign w:val="bottom"/>
          </w:tcPr>
          <w:p w14:paraId="67CA0526" w14:textId="038C19CC"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Initial indirect insights into DNA's structure through conversations and shared insights with Maurice Wilkins.</w:t>
            </w:r>
          </w:p>
        </w:tc>
      </w:tr>
      <w:tr w:rsidR="002646C5" w:rsidRPr="006C1E40" w14:paraId="492F232F" w14:textId="77777777" w:rsidTr="002646C5">
        <w:tc>
          <w:tcPr>
            <w:tcW w:w="1838" w:type="dxa"/>
            <w:vAlign w:val="bottom"/>
          </w:tcPr>
          <w:p w14:paraId="54225661" w14:textId="30C6593D"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1952</w:t>
            </w:r>
          </w:p>
        </w:tc>
        <w:tc>
          <w:tcPr>
            <w:tcW w:w="1701" w:type="dxa"/>
            <w:vAlign w:val="bottom"/>
          </w:tcPr>
          <w:p w14:paraId="44589E9B" w14:textId="445A407E"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Erwin Chargaff</w:t>
            </w:r>
          </w:p>
        </w:tc>
        <w:tc>
          <w:tcPr>
            <w:tcW w:w="4757" w:type="dxa"/>
            <w:vAlign w:val="bottom"/>
          </w:tcPr>
          <w:p w14:paraId="16C97235" w14:textId="5568F89D"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Chargaff's rules indicating that the amount of adenine equals thymine and the amount of cytosine equals guanine in DNA.</w:t>
            </w:r>
          </w:p>
        </w:tc>
      </w:tr>
      <w:tr w:rsidR="002646C5" w:rsidRPr="006C1E40" w14:paraId="3C8F7FC1" w14:textId="77777777" w:rsidTr="002646C5">
        <w:tc>
          <w:tcPr>
            <w:tcW w:w="1838" w:type="dxa"/>
            <w:vAlign w:val="bottom"/>
          </w:tcPr>
          <w:p w14:paraId="1D123E1B" w14:textId="37168CE2"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Late 1952</w:t>
            </w:r>
          </w:p>
        </w:tc>
        <w:tc>
          <w:tcPr>
            <w:tcW w:w="1701" w:type="dxa"/>
            <w:vAlign w:val="bottom"/>
          </w:tcPr>
          <w:p w14:paraId="5FE54595" w14:textId="77277884"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Rosalind Franklin and Raymond Gosling</w:t>
            </w:r>
          </w:p>
        </w:tc>
        <w:tc>
          <w:tcPr>
            <w:tcW w:w="4757" w:type="dxa"/>
            <w:vAlign w:val="bottom"/>
          </w:tcPr>
          <w:p w14:paraId="79AB52AC" w14:textId="4047458E"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Direct exposure to more precise X-ray diffraction images of DNA, suggesting a helical structure with specific dimensions.</w:t>
            </w:r>
          </w:p>
        </w:tc>
      </w:tr>
      <w:tr w:rsidR="002646C5" w:rsidRPr="006C1E40" w14:paraId="5E9E533F" w14:textId="77777777" w:rsidTr="002646C5">
        <w:tc>
          <w:tcPr>
            <w:tcW w:w="1838" w:type="dxa"/>
            <w:vAlign w:val="bottom"/>
          </w:tcPr>
          <w:p w14:paraId="6C0E6D31" w14:textId="09443E1E"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Early 1953</w:t>
            </w:r>
          </w:p>
        </w:tc>
        <w:tc>
          <w:tcPr>
            <w:tcW w:w="1701" w:type="dxa"/>
            <w:vAlign w:val="bottom"/>
          </w:tcPr>
          <w:p w14:paraId="007FEE76" w14:textId="1A0FBD19"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Jerry Donohue</w:t>
            </w:r>
          </w:p>
        </w:tc>
        <w:tc>
          <w:tcPr>
            <w:tcW w:w="4757" w:type="dxa"/>
            <w:vAlign w:val="bottom"/>
          </w:tcPr>
          <w:p w14:paraId="46EBC982" w14:textId="68D62466"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Clarification on the chemical structures of the nucleotide bases, particularly the keto rather than enol forms, which was crucial for accurate base pairing.</w:t>
            </w:r>
          </w:p>
        </w:tc>
      </w:tr>
      <w:tr w:rsidR="002646C5" w:rsidRPr="006C1E40" w14:paraId="23AE06CD" w14:textId="77777777" w:rsidTr="002646C5">
        <w:tc>
          <w:tcPr>
            <w:tcW w:w="1838" w:type="dxa"/>
            <w:vAlign w:val="bottom"/>
          </w:tcPr>
          <w:p w14:paraId="15EAEDE5" w14:textId="7A3F3F5B"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February 1953</w:t>
            </w:r>
          </w:p>
        </w:tc>
        <w:tc>
          <w:tcPr>
            <w:tcW w:w="1701" w:type="dxa"/>
            <w:vAlign w:val="bottom"/>
          </w:tcPr>
          <w:p w14:paraId="70B52B9A" w14:textId="676E923F"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Franklin's lecture at King's College</w:t>
            </w:r>
          </w:p>
        </w:tc>
        <w:tc>
          <w:tcPr>
            <w:tcW w:w="4757" w:type="dxa"/>
            <w:vAlign w:val="bottom"/>
          </w:tcPr>
          <w:p w14:paraId="7156A2BC" w14:textId="17ED7566"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Watson attended a lecture by Franklin, gaining insights into the water content and other physical parameters of DNA crucial for model building.</w:t>
            </w:r>
          </w:p>
        </w:tc>
      </w:tr>
      <w:tr w:rsidR="002646C5" w:rsidRPr="006C1E40" w14:paraId="628E899F" w14:textId="77777777" w:rsidTr="002646C5">
        <w:tc>
          <w:tcPr>
            <w:tcW w:w="1838" w:type="dxa"/>
            <w:vAlign w:val="bottom"/>
          </w:tcPr>
          <w:p w14:paraId="73D4CAE0" w14:textId="0BBD7CDC"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March 1953</w:t>
            </w:r>
          </w:p>
        </w:tc>
        <w:tc>
          <w:tcPr>
            <w:tcW w:w="1701" w:type="dxa"/>
            <w:vAlign w:val="bottom"/>
          </w:tcPr>
          <w:p w14:paraId="4577DC80" w14:textId="7F6BBD3D"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Rosalind Franklin's unpublished data</w:t>
            </w:r>
          </w:p>
        </w:tc>
        <w:tc>
          <w:tcPr>
            <w:tcW w:w="4757" w:type="dxa"/>
            <w:vAlign w:val="bottom"/>
          </w:tcPr>
          <w:p w14:paraId="2252EE59" w14:textId="6347CBA3"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Critical examination of Franklin's data by Wilkins in private, shared with Watson and Crick, confirming helical parameters.</w:t>
            </w:r>
          </w:p>
        </w:tc>
      </w:tr>
      <w:tr w:rsidR="002646C5" w:rsidRPr="006C1E40" w14:paraId="60970750" w14:textId="77777777" w:rsidTr="002646C5">
        <w:tc>
          <w:tcPr>
            <w:tcW w:w="1838" w:type="dxa"/>
            <w:vAlign w:val="bottom"/>
          </w:tcPr>
          <w:p w14:paraId="19C52509" w14:textId="545C1D6E"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March 1953</w:t>
            </w:r>
          </w:p>
        </w:tc>
        <w:tc>
          <w:tcPr>
            <w:tcW w:w="1701" w:type="dxa"/>
            <w:vAlign w:val="bottom"/>
          </w:tcPr>
          <w:p w14:paraId="3B2A8863" w14:textId="6CE1F068"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Linus Pauling's incorrect DNA model</w:t>
            </w:r>
          </w:p>
        </w:tc>
        <w:tc>
          <w:tcPr>
            <w:tcW w:w="4757" w:type="dxa"/>
            <w:vAlign w:val="bottom"/>
          </w:tcPr>
          <w:p w14:paraId="69BF07B1" w14:textId="32D0B1C1"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Learning of Pauling's mistakes in his proposed DNA model, which incorrectly placed the phosphate groups inside, provided a cautionary example.</w:t>
            </w:r>
          </w:p>
        </w:tc>
      </w:tr>
      <w:tr w:rsidR="002646C5" w:rsidRPr="006C1E40" w14:paraId="5C2DF856" w14:textId="77777777" w:rsidTr="002646C5">
        <w:tc>
          <w:tcPr>
            <w:tcW w:w="1838" w:type="dxa"/>
            <w:vAlign w:val="bottom"/>
          </w:tcPr>
          <w:p w14:paraId="46E215D5" w14:textId="0B400937"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April 1953</w:t>
            </w:r>
          </w:p>
        </w:tc>
        <w:tc>
          <w:tcPr>
            <w:tcW w:w="1701" w:type="dxa"/>
            <w:vAlign w:val="bottom"/>
          </w:tcPr>
          <w:p w14:paraId="6A6C5A3A" w14:textId="32AE3D20"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Watson and Crick's model-building efforts</w:t>
            </w:r>
          </w:p>
        </w:tc>
        <w:tc>
          <w:tcPr>
            <w:tcW w:w="4757" w:type="dxa"/>
            <w:vAlign w:val="bottom"/>
          </w:tcPr>
          <w:p w14:paraId="59CE58B5" w14:textId="616BCCAA" w:rsidR="002646C5" w:rsidRPr="006C1E40" w:rsidRDefault="002646C5" w:rsidP="002646C5">
            <w:pPr>
              <w:rPr>
                <w:rFonts w:ascii="Times New Roman" w:hAnsi="Times New Roman" w:cs="Times New Roman"/>
                <w:b/>
                <w:bCs/>
                <w:color w:val="0D0D0D"/>
                <w:sz w:val="22"/>
                <w:szCs w:val="22"/>
              </w:rPr>
            </w:pPr>
            <w:r w:rsidRPr="006C1E40">
              <w:rPr>
                <w:rFonts w:ascii="Times New Roman" w:hAnsi="Times New Roman" w:cs="Times New Roman"/>
                <w:color w:val="0D0D0D"/>
                <w:sz w:val="22"/>
                <w:szCs w:val="22"/>
              </w:rPr>
              <w:t>Utilizing all gathered data and insights, Watson and Crick constructed the first accurate model of DNA's double helix structure.</w:t>
            </w:r>
          </w:p>
        </w:tc>
      </w:tr>
    </w:tbl>
    <w:p w14:paraId="5991BFEB" w14:textId="77777777" w:rsidR="00EC0301" w:rsidRPr="006C1E40" w:rsidRDefault="00EC0301" w:rsidP="00EC0301">
      <w:pPr>
        <w:rPr>
          <w:rFonts w:ascii="Times New Roman" w:hAnsi="Times New Roman" w:cs="Times New Roman"/>
          <w:sz w:val="22"/>
          <w:szCs w:val="28"/>
        </w:rPr>
      </w:pPr>
    </w:p>
    <w:p w14:paraId="38509FBA" w14:textId="51DF7476" w:rsidR="006C1E40" w:rsidRPr="006C1E40" w:rsidRDefault="002646C5" w:rsidP="006C1E40">
      <w:pPr>
        <w:pStyle w:val="a4"/>
        <w:numPr>
          <w:ilvl w:val="0"/>
          <w:numId w:val="2"/>
        </w:numPr>
        <w:ind w:firstLineChars="0"/>
        <w:rPr>
          <w:rFonts w:ascii="Times New Roman" w:hAnsi="Times New Roman" w:cs="Times New Roman"/>
          <w:b/>
          <w:bCs/>
          <w:sz w:val="28"/>
          <w:szCs w:val="36"/>
        </w:rPr>
      </w:pPr>
      <w:r w:rsidRPr="006C1E40">
        <w:rPr>
          <w:rFonts w:ascii="Times New Roman" w:hAnsi="Times New Roman" w:cs="Times New Roman"/>
          <w:b/>
          <w:bCs/>
          <w:sz w:val="28"/>
          <w:szCs w:val="36"/>
        </w:rPr>
        <w:t xml:space="preserve">Task 2B: </w:t>
      </w:r>
    </w:p>
    <w:p w14:paraId="2A5FF6A4"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Centralized Data Repositories</w:t>
      </w:r>
    </w:p>
    <w:p w14:paraId="2C0DAE3D" w14:textId="09D20D3B"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importance of Rosalind Franklin's X-ray diffraction images.</w:t>
      </w:r>
    </w:p>
    <w:p w14:paraId="23E21462"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xml:space="preserve">: Develop centralized, discipline-specific data repositories where researchers can submit raw and processed data, including images, datasets, and experimental results. These repositories would be searchable and equipped with advanced metadata tagging systems to ensure easy </w:t>
      </w:r>
      <w:r w:rsidRPr="006C1E40">
        <w:rPr>
          <w:rFonts w:ascii="Times New Roman" w:hAnsi="Times New Roman" w:cs="Times New Roman"/>
          <w:sz w:val="22"/>
          <w:szCs w:val="28"/>
        </w:rPr>
        <w:lastRenderedPageBreak/>
        <w:t>retrieval. For instance, a repository for structural biology could categorize data by molecule type, experimental technique (e.g., X-ray crystallography, cryo-EM), and biological function. Implementing standardized submission formats and metadata requirements would facilitate interoperability and data reuse, accelerating discovery by allowing researchers to build directly on existing work.</w:t>
      </w:r>
    </w:p>
    <w:p w14:paraId="3334AC40" w14:textId="77777777" w:rsidR="002646C5" w:rsidRPr="006C1E40" w:rsidRDefault="002646C5" w:rsidP="002646C5">
      <w:pPr>
        <w:rPr>
          <w:rFonts w:ascii="Times New Roman" w:hAnsi="Times New Roman" w:cs="Times New Roman"/>
          <w:sz w:val="22"/>
          <w:szCs w:val="28"/>
        </w:rPr>
      </w:pPr>
    </w:p>
    <w:p w14:paraId="06C0D305"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Collaborative Research Platforms</w:t>
      </w:r>
    </w:p>
    <w:p w14:paraId="01C9BCFC" w14:textId="5A524E8C"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informal and formal exchanges between Watson, Crick, Franklin, and Wilkins.</w:t>
      </w:r>
    </w:p>
    <w:p w14:paraId="3363CE7D"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A collaborative platform that integrates communication tools, data sharing capabilities, and project management features tailored for scientific research. This platform would enable real-time discussion, feedback, and brainstorming among researchers. Features would include secure data sharing, version control for datasets and documents, and the ability to establish private or public collaboration spaces. Such a platform could have moderated forums where researchers post data requests or offer insights, akin to a more structured and scientific-focused version of current social media platforms used by researchers.</w:t>
      </w:r>
    </w:p>
    <w:p w14:paraId="16F55B12" w14:textId="77777777" w:rsidR="002646C5" w:rsidRPr="006C1E40" w:rsidRDefault="002646C5" w:rsidP="002646C5">
      <w:pPr>
        <w:rPr>
          <w:rFonts w:ascii="Times New Roman" w:hAnsi="Times New Roman" w:cs="Times New Roman"/>
          <w:sz w:val="22"/>
          <w:szCs w:val="28"/>
        </w:rPr>
      </w:pPr>
    </w:p>
    <w:p w14:paraId="5DB37ADC"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Enhanced Literature Search Tools</w:t>
      </w:r>
    </w:p>
    <w:p w14:paraId="608FA47C" w14:textId="229C40F4"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challenge of staying updated with the latest research findings and relevant historical data.</w:t>
      </w:r>
    </w:p>
    <w:p w14:paraId="01A61480"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Develop advanced literature search tools utilizing artificial intelligence to provide contextual and semantic search capabilities. Unlike traditional keyword-based searches, these tools would analyze the user's search intent and the scientific context behind queries, returning results that are most relevant to the research question at hand. Incorporating machine learning algorithms that adapt to user feedback and search patterns over time could further refine the relevance of search results. Additionally, integrating these tools with data repositories and collaborative platforms could allow seamless access to both published literature and underlying datasets.</w:t>
      </w:r>
    </w:p>
    <w:p w14:paraId="5B6D11BE" w14:textId="77777777" w:rsidR="002646C5" w:rsidRPr="006C1E40" w:rsidRDefault="002646C5" w:rsidP="002646C5">
      <w:pPr>
        <w:rPr>
          <w:rFonts w:ascii="Times New Roman" w:hAnsi="Times New Roman" w:cs="Times New Roman"/>
          <w:sz w:val="22"/>
          <w:szCs w:val="28"/>
        </w:rPr>
      </w:pPr>
    </w:p>
    <w:p w14:paraId="024E9C6A"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Educational and Training Resources</w:t>
      </w:r>
    </w:p>
    <w:p w14:paraId="71437EF3" w14:textId="5F74A04A"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misunderstandings and knowledge gaps encountered by Watson and Crick, such as the correct chemical structures of the nucleotide bases.</w:t>
      </w:r>
    </w:p>
    <w:p w14:paraId="456A2072"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An online portal offering educational resources, tutorials, and courses focused on research methodologies, data analysis techniques, and emerging technologies in biology. This resource would cater to both new researchers and seasoned scientists looking to expand their skill sets. Incorporating interactive simulations, visualizations, and hands-on workshops could enhance understanding and retention. Additionally, community-driven content, where researchers share their expertise and insights into specific techniques or challenges, would enrich the resource pool.</w:t>
      </w:r>
    </w:p>
    <w:p w14:paraId="136B8C1C" w14:textId="77777777" w:rsidR="002646C5" w:rsidRPr="006C1E40" w:rsidRDefault="002646C5" w:rsidP="002646C5">
      <w:pPr>
        <w:rPr>
          <w:rFonts w:ascii="Times New Roman" w:hAnsi="Times New Roman" w:cs="Times New Roman"/>
          <w:sz w:val="22"/>
          <w:szCs w:val="28"/>
        </w:rPr>
      </w:pPr>
    </w:p>
    <w:p w14:paraId="1FEAC7B8"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Data Integrity and Citation Frameworks</w:t>
      </w:r>
    </w:p>
    <w:p w14:paraId="533FA75A" w14:textId="183613F2"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critical role of accurate, reliable data in building the DNA model.</w:t>
      </w:r>
    </w:p>
    <w:p w14:paraId="4C041444"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xml:space="preserve">: Implementing blockchain technology for research data management to ensure data integrity, traceability, and secure sharing. Each dataset would have a unique identifier and an immutable record of its history, including creation, modifications, and access. This framework </w:t>
      </w:r>
      <w:r w:rsidRPr="006C1E40">
        <w:rPr>
          <w:rFonts w:ascii="Times New Roman" w:hAnsi="Times New Roman" w:cs="Times New Roman"/>
          <w:sz w:val="22"/>
          <w:szCs w:val="28"/>
        </w:rPr>
        <w:lastRenderedPageBreak/>
        <w:t>would facilitate transparent and verifiable data citation, encouraging proper attribution and rewarding data sharing among researchers. By ensuring that data remains tamper-proof and traceable, researchers can confidently rely on external datasets in their work.</w:t>
      </w:r>
    </w:p>
    <w:p w14:paraId="538A561C" w14:textId="77777777" w:rsidR="002646C5" w:rsidRPr="006C1E40" w:rsidRDefault="002646C5" w:rsidP="002646C5">
      <w:pPr>
        <w:rPr>
          <w:rFonts w:ascii="Times New Roman" w:hAnsi="Times New Roman" w:cs="Times New Roman"/>
          <w:sz w:val="22"/>
          <w:szCs w:val="28"/>
        </w:rPr>
      </w:pPr>
    </w:p>
    <w:p w14:paraId="7D164F1A" w14:textId="77777777" w:rsidR="002646C5" w:rsidRPr="006C1E40" w:rsidRDefault="002646C5"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Interdisciplinary Research Hubs</w:t>
      </w:r>
    </w:p>
    <w:p w14:paraId="12EA00CC" w14:textId="6DA7F551"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interdisciplinary nature of the DNA structure discovery, involving chemistry, physics, and biology.</w:t>
      </w:r>
    </w:p>
    <w:p w14:paraId="362D5373" w14:textId="77777777" w:rsidR="002646C5" w:rsidRPr="006C1E40" w:rsidRDefault="002646C5" w:rsidP="002646C5">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Establishing interdisciplinary research hubs, both virtual and physical, where scientists from different fields can collaborate on complex research questions. These hubs would offer access to diverse expertise, equipment, and methodologies, fostering innovation that transcends traditional disciplinary boundaries. Regular workshops, seminars, and networking events would encourage cross-pollination of ideas and methodologies, paving the way for breakthroughs that arise from interdisciplinary collaboration.</w:t>
      </w:r>
    </w:p>
    <w:p w14:paraId="03E7253E" w14:textId="77777777" w:rsidR="002646C5" w:rsidRPr="006C1E40" w:rsidRDefault="002646C5" w:rsidP="002646C5">
      <w:pPr>
        <w:rPr>
          <w:rFonts w:ascii="Times New Roman" w:hAnsi="Times New Roman" w:cs="Times New Roman"/>
          <w:sz w:val="22"/>
          <w:szCs w:val="28"/>
        </w:rPr>
      </w:pPr>
    </w:p>
    <w:p w14:paraId="6EDB7CAE" w14:textId="77777777" w:rsidR="006C1E40" w:rsidRPr="006C1E40" w:rsidRDefault="006C1E40"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Virtual Reality (VR) Labs for Molecular Visualization and Interaction</w:t>
      </w:r>
    </w:p>
    <w:p w14:paraId="5B747489" w14:textId="5F7B0C6D"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critical role of visualizing molecular structures, such as the DNA double helix, in understanding biological functions.</w:t>
      </w:r>
    </w:p>
    <w:p w14:paraId="1DA793FF" w14:textId="77777777"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The development of Virtual Reality (VR) labs designed for molecular visualization and interaction would revolutionize the way researchers understand and interact with complex biological structures. These VR environments would allow scientists to virtually explore, manipulate, and experiment with molecular models in three dimensions, providing an immersive experience that far surpasses traditional computer simulations. By enabling users to 'walk through' molecular structures and observe interactions at the atomic level, these VR labs could facilitate a deeper understanding of molecular mechanisms, protein folding, and the effects of potential drugs. Integration with real-time data from computational simulations and experimental databases would allow researchers to visualize dynamic processes, such as enzyme reactions and gene expression, in an interactive manner. This technology could also support collaborative research efforts by allowing multiple users to interact within the same virtual space, regardless of their physical location.</w:t>
      </w:r>
    </w:p>
    <w:p w14:paraId="40E56A83" w14:textId="77777777" w:rsidR="006C1E40" w:rsidRPr="006C1E40" w:rsidRDefault="006C1E40" w:rsidP="006C1E40">
      <w:pPr>
        <w:rPr>
          <w:rFonts w:ascii="Times New Roman" w:hAnsi="Times New Roman" w:cs="Times New Roman"/>
          <w:sz w:val="22"/>
          <w:szCs w:val="28"/>
        </w:rPr>
      </w:pPr>
    </w:p>
    <w:p w14:paraId="3C340B5E" w14:textId="77777777" w:rsidR="006C1E40" w:rsidRPr="006C1E40" w:rsidRDefault="006C1E40"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AI-Powered Predictive Modeling for Biological Research</w:t>
      </w:r>
    </w:p>
    <w:p w14:paraId="56FBADE7" w14:textId="0E988FF0"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iterative process of hypothesis generation and testing in the discovery of the DNA structure.</w:t>
      </w:r>
    </w:p>
    <w:p w14:paraId="18DC2849" w14:textId="104B6477"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xml:space="preserve">: Leveraging artificial intelligence (AI) to develop predictive models that can accelerate hypothesis generation and testing in biological research. These AI systems would analyze vast datasets, including genomic sequences, proteomic data, and experimental results, to identify patterns and predict biological outcomes. By employing machine learning algorithms and deep learning networks, such predictive models could propose novel hypotheses about gene function, protein interactions, and disease mechanisms. Researchers could then focus on experimentally validating the most promising predictions, significantly reducing the time and resources required for discovery. These AI models could be continuously updated with new data, improving their accuracy and relevance over time. Additionally, integrating these predictive models with collaborative research platforms and data repositories would ensure that they are accessible to the broader scientific community, facilitating the sharing of insights and fostering </w:t>
      </w:r>
      <w:r w:rsidRPr="006C1E40">
        <w:rPr>
          <w:rFonts w:ascii="Times New Roman" w:hAnsi="Times New Roman" w:cs="Times New Roman"/>
          <w:sz w:val="22"/>
          <w:szCs w:val="28"/>
        </w:rPr>
        <w:lastRenderedPageBreak/>
        <w:t>collaborative advancements in understanding complex biological systems.</w:t>
      </w:r>
    </w:p>
    <w:p w14:paraId="5D6F8F83" w14:textId="77777777" w:rsidR="006C1E40" w:rsidRPr="006C1E40" w:rsidRDefault="006C1E40" w:rsidP="002646C5">
      <w:pPr>
        <w:rPr>
          <w:rFonts w:ascii="Times New Roman" w:hAnsi="Times New Roman" w:cs="Times New Roman"/>
          <w:sz w:val="22"/>
          <w:szCs w:val="28"/>
        </w:rPr>
      </w:pPr>
    </w:p>
    <w:p w14:paraId="072D4643" w14:textId="77777777" w:rsidR="006C1E40" w:rsidRPr="006C1E40" w:rsidRDefault="006C1E40" w:rsidP="006C1E40">
      <w:pPr>
        <w:pStyle w:val="a4"/>
        <w:numPr>
          <w:ilvl w:val="0"/>
          <w:numId w:val="3"/>
        </w:numPr>
        <w:ind w:firstLineChars="0"/>
        <w:rPr>
          <w:rFonts w:ascii="Times New Roman" w:hAnsi="Times New Roman" w:cs="Times New Roman"/>
          <w:b/>
          <w:bCs/>
          <w:sz w:val="24"/>
          <w:szCs w:val="32"/>
        </w:rPr>
      </w:pPr>
      <w:r w:rsidRPr="006C1E40">
        <w:rPr>
          <w:rFonts w:ascii="Times New Roman" w:hAnsi="Times New Roman" w:cs="Times New Roman"/>
          <w:b/>
          <w:bCs/>
          <w:sz w:val="24"/>
          <w:szCs w:val="32"/>
        </w:rPr>
        <w:t>Crowdsourcing and Citizen Science Platforms for Data Collection and Analysis</w:t>
      </w:r>
    </w:p>
    <w:p w14:paraId="1A946FAA" w14:textId="0DD6919A"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Inspiration</w:t>
      </w:r>
      <w:r w:rsidRPr="006C1E40">
        <w:rPr>
          <w:rFonts w:ascii="Times New Roman" w:hAnsi="Times New Roman" w:cs="Times New Roman"/>
          <w:sz w:val="22"/>
          <w:szCs w:val="28"/>
        </w:rPr>
        <w:t>: The collective effort and diverse contributions that led to the discovery of DNA's structure, highlighting the value of collaboration across different expertise levels.</w:t>
      </w:r>
    </w:p>
    <w:p w14:paraId="33CC8D21" w14:textId="4B8C7A17" w:rsidR="006C1E40" w:rsidRPr="006C1E40" w:rsidRDefault="006C1E40" w:rsidP="006C1E40">
      <w:pPr>
        <w:rPr>
          <w:rFonts w:ascii="Times New Roman" w:hAnsi="Times New Roman" w:cs="Times New Roman"/>
          <w:sz w:val="22"/>
          <w:szCs w:val="28"/>
        </w:rPr>
      </w:pPr>
      <w:r w:rsidRPr="006C1E40">
        <w:rPr>
          <w:rFonts w:ascii="Times New Roman" w:hAnsi="Times New Roman" w:cs="Times New Roman"/>
          <w:b/>
          <w:bCs/>
          <w:sz w:val="22"/>
          <w:szCs w:val="28"/>
        </w:rPr>
        <w:t>Idea</w:t>
      </w:r>
      <w:r w:rsidRPr="006C1E40">
        <w:rPr>
          <w:rFonts w:ascii="Times New Roman" w:hAnsi="Times New Roman" w:cs="Times New Roman"/>
          <w:sz w:val="22"/>
          <w:szCs w:val="28"/>
        </w:rPr>
        <w:t>: The creation of crowdsourcing and citizen science platforms specifically designed for biology research could harness the power of the global community to tackle large-scale data collection and analysis challenges. These platforms would invite contributions from both the scientific community and the public, engaging citizen scientists in data collection, categorization, and preliminary analysis tasks. For example, participants could contribute to biodiversity surveys, annotate images of cells or organisms, or help in analyzing genetic data. Such initiatives would not only accelerate the research process by leveraging collective intelligence but also increase public interest and understanding of science.</w:t>
      </w:r>
    </w:p>
    <w:p w14:paraId="73E6F3CF" w14:textId="77777777" w:rsidR="006C1E40" w:rsidRPr="006C1E40" w:rsidRDefault="006C1E40" w:rsidP="002646C5">
      <w:pPr>
        <w:rPr>
          <w:rFonts w:ascii="Times New Roman" w:hAnsi="Times New Roman" w:cs="Times New Roman"/>
          <w:sz w:val="22"/>
          <w:szCs w:val="28"/>
        </w:rPr>
      </w:pPr>
    </w:p>
    <w:p w14:paraId="4FDA02E3" w14:textId="77777777" w:rsidR="00AB7055" w:rsidRPr="00AB7055" w:rsidRDefault="00AB7055" w:rsidP="00AB7055">
      <w:pPr>
        <w:rPr>
          <w:rFonts w:ascii="Times New Roman" w:hAnsi="Times New Roman" w:cs="Times New Roman"/>
          <w:b/>
          <w:bCs/>
          <w:sz w:val="22"/>
          <w:szCs w:val="28"/>
        </w:rPr>
      </w:pPr>
      <w:r w:rsidRPr="00AB7055">
        <w:rPr>
          <w:rFonts w:ascii="Times New Roman" w:hAnsi="Times New Roman" w:cs="Times New Roman"/>
          <w:b/>
          <w:bCs/>
          <w:sz w:val="22"/>
          <w:szCs w:val="28"/>
        </w:rPr>
        <w:t>Conclusion</w:t>
      </w:r>
    </w:p>
    <w:p w14:paraId="0EFB6C30" w14:textId="79AD9E98" w:rsidR="00807F09" w:rsidRPr="006C1E40" w:rsidRDefault="00AB7055" w:rsidP="00AB7055">
      <w:pPr>
        <w:rPr>
          <w:rFonts w:ascii="Times New Roman" w:hAnsi="Times New Roman" w:cs="Times New Roman"/>
          <w:sz w:val="22"/>
          <w:szCs w:val="28"/>
        </w:rPr>
      </w:pPr>
      <w:r w:rsidRPr="00AB7055">
        <w:rPr>
          <w:rFonts w:ascii="Times New Roman" w:hAnsi="Times New Roman" w:cs="Times New Roman"/>
          <w:sz w:val="22"/>
          <w:szCs w:val="28"/>
        </w:rPr>
        <w:t>By implementing these ideas, the scientific community can enhance information and data retrieval in biology research, making it more efficient, collaborative, and innovative. Each solution addresses specific challenges faced by Watson and Crick and others in their journey to discovering the DNA double helix structure. Together, these strategies can support the next generation of scientific discoveries, ensuring researchers have the tools and resources they need to advance our understanding of the biological world.</w:t>
      </w:r>
    </w:p>
    <w:sectPr w:rsidR="00807F09" w:rsidRPr="006C1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B7C"/>
    <w:multiLevelType w:val="hybridMultilevel"/>
    <w:tmpl w:val="25AA6B8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6353310E"/>
    <w:multiLevelType w:val="hybridMultilevel"/>
    <w:tmpl w:val="611AB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C3374D1"/>
    <w:multiLevelType w:val="hybridMultilevel"/>
    <w:tmpl w:val="A0B6E3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34644934">
    <w:abstractNumId w:val="2"/>
  </w:num>
  <w:num w:numId="2" w16cid:durableId="724644003">
    <w:abstractNumId w:val="0"/>
  </w:num>
  <w:num w:numId="3" w16cid:durableId="2016609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01"/>
    <w:rsid w:val="002646C5"/>
    <w:rsid w:val="006C1E40"/>
    <w:rsid w:val="00807F09"/>
    <w:rsid w:val="0094405C"/>
    <w:rsid w:val="00AB7055"/>
    <w:rsid w:val="00E21DE2"/>
    <w:rsid w:val="00EC0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E9CCF0"/>
  <w15:chartTrackingRefBased/>
  <w15:docId w15:val="{132A12D5-0A82-814F-A0CA-EE2CAE82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0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1E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10098">
      <w:bodyDiv w:val="1"/>
      <w:marLeft w:val="0"/>
      <w:marRight w:val="0"/>
      <w:marTop w:val="0"/>
      <w:marBottom w:val="0"/>
      <w:divBdr>
        <w:top w:val="none" w:sz="0" w:space="0" w:color="auto"/>
        <w:left w:val="none" w:sz="0" w:space="0" w:color="auto"/>
        <w:bottom w:val="none" w:sz="0" w:space="0" w:color="auto"/>
        <w:right w:val="none" w:sz="0" w:space="0" w:color="auto"/>
      </w:divBdr>
    </w:div>
    <w:div w:id="1304962176">
      <w:bodyDiv w:val="1"/>
      <w:marLeft w:val="0"/>
      <w:marRight w:val="0"/>
      <w:marTop w:val="0"/>
      <w:marBottom w:val="0"/>
      <w:divBdr>
        <w:top w:val="none" w:sz="0" w:space="0" w:color="auto"/>
        <w:left w:val="none" w:sz="0" w:space="0" w:color="auto"/>
        <w:bottom w:val="none" w:sz="0" w:space="0" w:color="auto"/>
        <w:right w:val="none" w:sz="0" w:space="0" w:color="auto"/>
      </w:divBdr>
    </w:div>
    <w:div w:id="1644919363">
      <w:bodyDiv w:val="1"/>
      <w:marLeft w:val="0"/>
      <w:marRight w:val="0"/>
      <w:marTop w:val="0"/>
      <w:marBottom w:val="0"/>
      <w:divBdr>
        <w:top w:val="none" w:sz="0" w:space="0" w:color="auto"/>
        <w:left w:val="none" w:sz="0" w:space="0" w:color="auto"/>
        <w:bottom w:val="none" w:sz="0" w:space="0" w:color="auto"/>
        <w:right w:val="none" w:sz="0" w:space="0" w:color="auto"/>
      </w:divBdr>
    </w:div>
    <w:div w:id="1837063785">
      <w:bodyDiv w:val="1"/>
      <w:marLeft w:val="0"/>
      <w:marRight w:val="0"/>
      <w:marTop w:val="0"/>
      <w:marBottom w:val="0"/>
      <w:divBdr>
        <w:top w:val="none" w:sz="0" w:space="0" w:color="auto"/>
        <w:left w:val="none" w:sz="0" w:space="0" w:color="auto"/>
        <w:bottom w:val="none" w:sz="0" w:space="0" w:color="auto"/>
        <w:right w:val="none" w:sz="0" w:space="0" w:color="auto"/>
      </w:divBdr>
    </w:div>
    <w:div w:id="20686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2024-02-16T05:56:00Z</dcterms:created>
  <dcterms:modified xsi:type="dcterms:W3CDTF">2024-02-16T06:58:00Z</dcterms:modified>
</cp:coreProperties>
</file>