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40"/>
          <w:szCs w:val="40"/>
        </w:rPr>
        <w:t xml:space="preserve">The IAPP Amyloid Hypothesis of Type 1 Diabetes Autoimmunity</w:t>
      </w:r>
    </w:p>
    <w:p>
      <w:pPr>
        <w:spacing w:before="0" w:after="80"/>
        <w:jc w:val="center"/>
      </w:pPr>
      <w:r>
        <w:rPr>
          <w:rFonts w:ascii="Arial" w:cs="Arial" w:eastAsia="Arial" w:hAnsi="Arial"/>
          <w:i/>
          <w:iCs/>
          <w:color w:val="444444"/>
          <w:sz w:val="26"/>
          <w:szCs w:val="26"/>
        </w:rPr>
        <w:t xml:space="preserve">A Novel Therapeutic Framework for Durable Beta Cell Preservation</w:t>
      </w:r>
    </w:p>
    <w:p>
      <w:pPr>
        <w:spacing w:before="0" w:after="60"/>
        <w:jc w:val="center"/>
      </w:pPr>
      <w:r>
        <w:rPr>
          <w:rFonts w:ascii="Arial" w:cs="Arial" w:eastAsia="Arial" w:hAnsi="Arial"/>
          <w:color w:val="666666"/>
          <w:sz w:val="22"/>
          <w:szCs w:val="22"/>
        </w:rPr>
        <w:t xml:space="preserve">Originating Author: Brandon | NEXUS Holdings</w:t>
      </w:r>
    </w:p>
    <w:p>
      <w:pPr>
        <w:spacing w:before="0" w:after="480"/>
        <w:jc w:val="center"/>
      </w:pPr>
      <w:r>
        <w:rPr>
          <w:rFonts w:ascii="Arial" w:cs="Arial" w:eastAsia="Arial" w:hAnsi="Arial"/>
          <w:color w:val="666666"/>
          <w:sz w:val="22"/>
          <w:szCs w:val="22"/>
        </w:rPr>
        <w:t xml:space="preserve">March 2026  —  Version 2.0  —  Confidential Working Document</w:t>
      </w:r>
    </w:p>
    <w:p>
      <w:pPr>
        <w:pBdr>
          <w:bottom w:val="single" w:color="2E5EA8" w:sz="6" w:space="1"/>
        </w:pBdr>
        <w:spacing w:before="0" w:after="320"/>
      </w:pPr>
    </w:p>
    <w:p>
      <w:pPr>
        <w:pStyle w:val="Heading1"/>
      </w:pPr>
      <w:r>
        <w:t xml:space="preserve">Abstract</w:t>
      </w:r>
    </w:p>
    <w:p>
      <w:pPr>
        <w:spacing w:before="0" w:after="200"/>
      </w:pPr>
      <w:r>
        <w:rPr>
          <w:rFonts w:ascii="Arial" w:cs="Arial" w:eastAsia="Arial" w:hAnsi="Arial"/>
          <w:sz w:val="24"/>
          <w:szCs w:val="24"/>
        </w:rPr>
        <w:t xml:space="preserve">This document presents a novel hypothesis proposing that the autoimmune destruction of pancreatic beta cells in Type 1 Diabetes (T1D) is not triggered by beta cell identity broadly, nor by any secreted beta cell product in circulation, but specifically by the localized formation of amyloid deposits from the misfolding of islet amyloid polypeptide (IAPP/amylin) — a hormone co-secreted exclusively by beta cells. This reframing is supported by three independent lines of evidence: the behavior of exogenous insulin, the behavior of the existing FDA-approved drug pramlintide (Symlin), and the evolutionary biology of rodent IAPP. Taken together, these converging lines of evidence point toward a specific and potentially patentable therapeutic intervention: gene-editing transplanted beta cells to endogenously express a non-amyloidogenic IAPP analog, eliminating the amyloid trigger at its source without disrupting hormonal function or requiring systemic immunosuppression.</w:t>
      </w:r>
    </w:p>
    <w:p>
      <w:pPr>
        <w:pStyle w:val="Heading1"/>
      </w:pPr>
      <w:r>
        <w:t xml:space="preserve">Background and Problem Statement</w:t>
      </w:r>
    </w:p>
    <w:p>
      <w:pPr>
        <w:spacing w:before="0" w:after="160"/>
      </w:pPr>
      <w:r>
        <w:rPr>
          <w:rFonts w:ascii="Arial" w:cs="Arial" w:eastAsia="Arial" w:hAnsi="Arial"/>
          <w:sz w:val="24"/>
          <w:szCs w:val="24"/>
        </w:rPr>
        <w:t xml:space="preserve">Type 1 Diabetes is an autoimmune disease in which the body's immune system destroys the insulin-producing beta cells of the pancreatic islets. While insulin replacement therapy manages the downstream deficiency, it does not address the underlying destruction mechanism. As a result, beta cell replacement strategies — including donor islet transplantation, allogeneic stem cell-derived beta cells, and autologous chemically induced pluripotent stem cell (CiPSC) therapies — share a common and critical vulnerability: the transplanted cells are attacked and destroyed by the same autoimmune mechanism that eliminated the patient's original beta cells.</w:t>
      </w:r>
    </w:p>
    <w:p>
      <w:pPr>
        <w:spacing w:before="0" w:after="160"/>
      </w:pPr>
      <w:r>
        <w:rPr>
          <w:rFonts w:ascii="Arial" w:cs="Arial" w:eastAsia="Arial" w:hAnsi="Arial"/>
          <w:sz w:val="24"/>
          <w:szCs w:val="24"/>
        </w:rPr>
        <w:t xml:space="preserve">Current clinical responses to this problem rely on broad immunosuppression — pharmacologically suppressing the immune system to prevent re-attack. This approach carries significant long-term risks including increased infection susceptibility, kidney toxicity, and malignancy, and requires lifelong maintenance. Newer approaches such as tegoprubart (Eledon Pharmaceuticals, University of Chicago trial) offer improved safety profiles but still operate downstream of the underlying trigger, likely requiring lifelong administration.</w:t>
      </w:r>
    </w:p>
    <w:p>
      <w:pPr>
        <w:spacing w:before="0" w:after="200"/>
      </w:pPr>
      <w:r>
        <w:rPr>
          <w:rFonts w:ascii="Arial" w:cs="Arial" w:eastAsia="Arial" w:hAnsi="Arial"/>
          <w:b/>
          <w:bCs/>
          <w:sz w:val="24"/>
          <w:szCs w:val="24"/>
        </w:rPr>
        <w:t xml:space="preserve">This hypothesis proposes that the field has been solving the wrong problem. Rather than suppressing the immune response after it is triggered, the trigger itself can be identified and eliminated — enabling transplanted beta cells to survive without any immunosuppression.</w:t>
      </w:r>
    </w:p>
    <w:p>
      <w:pPr>
        <w:pStyle w:val="Heading1"/>
      </w:pPr>
      <w:r>
        <w:t xml:space="preserve">The Deductive Chain: Identifying the Trigger</w:t>
      </w:r>
    </w:p>
    <w:p>
      <w:pPr>
        <w:spacing w:before="0" w:after="120"/>
      </w:pPr>
      <w:r>
        <w:rPr>
          <w:rFonts w:ascii="Arial" w:cs="Arial" w:eastAsia="Arial" w:hAnsi="Arial"/>
          <w:sz w:val="24"/>
          <w:szCs w:val="24"/>
        </w:rPr>
        <w:t xml:space="preserve">The hypothesis emerged from a series of logical observations about the specificity of the autoimmune response in T1D:</w:t>
      </w:r>
    </w:p>
    <w:p>
      <w:pPr>
        <w:pStyle w:val="Heading2"/>
      </w:pPr>
      <w:r>
        <w:t xml:space="preserve">Step 1: The attack is beta cell-specific, not product-specific</w:t>
      </w:r>
    </w:p>
    <w:p>
      <w:pPr>
        <w:spacing w:before="0" w:after="160"/>
      </w:pPr>
      <w:r>
        <w:rPr>
          <w:rFonts w:ascii="Arial" w:cs="Arial" w:eastAsia="Arial" w:hAnsi="Arial"/>
          <w:sz w:val="24"/>
          <w:szCs w:val="24"/>
        </w:rPr>
        <w:t xml:space="preserve">T1D patients inject exogenous insulin daily. This insulin circulates throughout the body — yet the immune system does not attack it. If the autoimmune response were directed at insulin as a molecule, this would be impossible. The immune system is therefore not targeting insulin, nor any broadly circulating beta cell product. It is targeting something associated with the beta cell itself.</w:t>
      </w:r>
    </w:p>
    <w:p>
      <w:pPr>
        <w:pStyle w:val="Heading2"/>
      </w:pPr>
      <w:r>
        <w:t xml:space="preserve">Step 2: The only beta cell-exclusive product is IAPP</w:t>
      </w:r>
    </w:p>
    <w:p>
      <w:pPr>
        <w:spacing w:before="0" w:after="160"/>
      </w:pPr>
      <w:r>
        <w:rPr>
          <w:rFonts w:ascii="Arial" w:cs="Arial" w:eastAsia="Arial" w:hAnsi="Arial"/>
          <w:sz w:val="24"/>
          <w:szCs w:val="24"/>
        </w:rPr>
        <w:t xml:space="preserve">Beta cells produce and co-secrete insulin and islet amyloid polypeptide (IAPP, also known as amylin) in an approximately 100:1 ratio. Insulin is produced by other tissues and can circulate without immune consequence, as demonstrated above. IAPP, however, is produced exclusively by beta cells — no other cell type in the body produces it. If the immune trigger is something specific to beta cells, IAPP is the primary candidate.</w:t>
      </w:r>
    </w:p>
    <w:p>
      <w:pPr>
        <w:pStyle w:val="Heading2"/>
      </w:pPr>
      <w:r>
        <w:t xml:space="preserve">Step 3: The trigger is not IAPP in circulation — it is IAPP as amyloid</w:t>
      </w:r>
    </w:p>
    <w:p>
      <w:pPr>
        <w:spacing w:before="0" w:after="160"/>
      </w:pPr>
      <w:r>
        <w:rPr>
          <w:rFonts w:ascii="Arial" w:cs="Arial" w:eastAsia="Arial" w:hAnsi="Arial"/>
          <w:sz w:val="24"/>
          <w:szCs w:val="24"/>
        </w:rPr>
        <w:t xml:space="preserve">Human IAPP is one of the most amyloidogenic peptides known. At physiological concentrations within and around the beta cell, it misfolds and aggregates into amyloid deposits — a process that is localized to the beta cell environment, not systemic circulation. This amyloid formation is the critical distinction. The immune system is not encountering IAPP as a soluble hormone in the bloodstream; it is encountering IAPP as a structurally abnormal, cell-associated amyloid aggregate.</w:t>
      </w:r>
    </w:p>
    <w:p>
      <w:pPr>
        <w:spacing w:before="0" w:after="200"/>
      </w:pPr>
      <w:r>
        <w:rPr>
          <w:rFonts w:ascii="Arial" w:cs="Arial" w:eastAsia="Arial" w:hAnsi="Arial"/>
          <w:sz w:val="24"/>
          <w:szCs w:val="24"/>
        </w:rPr>
        <w:t xml:space="preserve">IAPP amyloid fibrils and oligomers are well-documented activators of the NLRP3 inflammasome in macrophages — triggering the release of IL-1β and initiating a potent localized inflammatory cascade. This provides the mechanistic bridge: amyloid deposits form at the beta cell, inflammasome activation recruits immune cells, and the beta cell is destroyed. Transplanted beta cells — regardless of their origin — also produce native human IAPP, form the same amyloid deposits, and eventually re-trigger the same cascade.</w:t>
      </w:r>
    </w:p>
    <w:p>
      <w:pPr>
        <w:pStyle w:val="Heading1"/>
      </w:pPr>
      <w:r>
        <w:t xml:space="preserve">Three Converging Lines of Supporting Evidence</w:t>
      </w:r>
    </w:p>
    <w:p>
      <w:pPr>
        <w:pStyle w:val="Heading2"/>
      </w:pPr>
      <w:r>
        <w:t xml:space="preserve">Evidence 1: Exogenous Insulin</w:t>
      </w:r>
    </w:p>
    <w:p>
      <w:pPr>
        <w:spacing w:before="0" w:after="200"/>
      </w:pPr>
      <w:r>
        <w:rPr>
          <w:rFonts w:ascii="Arial" w:cs="Arial" w:eastAsia="Arial" w:hAnsi="Arial"/>
          <w:sz w:val="24"/>
          <w:szCs w:val="24"/>
        </w:rPr>
        <w:t xml:space="preserve">As described above, T1D patients inject insulin directly into their bodies daily, in the presence of active autoimmune memory, without triggering immune attack. This eliminates insulin — and by extension any broadly circulating beta cell product — as the autoimmune target. The immune response is specific to something cell-associated, pointing toward amyloid deposits localized to the beta cell.</w:t>
      </w:r>
    </w:p>
    <w:p>
      <w:pPr>
        <w:pStyle w:val="Heading2"/>
      </w:pPr>
      <w:r>
        <w:t xml:space="preserve">Evidence 2: Pramlintide (Symlin) — The Most Direct Proof</w:t>
      </w:r>
    </w:p>
    <w:p>
      <w:pPr>
        <w:spacing w:before="0" w:after="160"/>
      </w:pPr>
      <w:r>
        <w:rPr>
          <w:rFonts w:ascii="Arial" w:cs="Arial" w:eastAsia="Arial" w:hAnsi="Arial"/>
          <w:sz w:val="24"/>
          <w:szCs w:val="24"/>
        </w:rPr>
        <w:t xml:space="preserve">Pramlintide (brand name Symlin, FDA-approved 2005) is a synthetic analog of human IAPP engineered with proline substitutions at positions 25, 26, and 29 — the same amyloidogenic region responsible for fibril formation. These substitutions were introduced specifically to prevent amyloid aggregation, because native human IAPP is too prone to aggregation to be safely injectable.</w:t>
      </w:r>
    </w:p>
    <w:p>
      <w:pPr>
        <w:spacing w:before="0" w:after="160"/>
      </w:pPr>
      <w:r>
        <w:rPr>
          <w:rFonts w:ascii="Arial" w:cs="Arial" w:eastAsia="Arial" w:hAnsi="Arial"/>
          <w:b/>
          <w:bCs/>
          <w:sz w:val="24"/>
          <w:szCs w:val="24"/>
        </w:rPr>
        <w:t xml:space="preserve">Pramlintide is administered to T1D patients — individuals with active autoimmune memory directed at their original beta cells. It circulates in the same body that destroyed those cells. And critically: the immune system does not attack it.</w:t>
      </w:r>
    </w:p>
    <w:p>
      <w:pPr>
        <w:spacing w:before="0" w:after="160"/>
      </w:pPr>
      <w:r>
        <w:rPr>
          <w:rFonts w:ascii="Arial" w:cs="Arial" w:eastAsia="Arial" w:hAnsi="Arial"/>
          <w:sz w:val="24"/>
          <w:szCs w:val="24"/>
        </w:rPr>
        <w:t xml:space="preserve">This is among the most powerful pieces of supporting evidence for the hypothesis. Pramlintide retains full amylin hormonal function — it slows gastric emptying, suppresses glucagon, and signals satiety — while being structurally modified in the amyloidogenic region. The immune system, even in an active T1D autoimmune state, leaves it alone.</w:t>
      </w:r>
    </w:p>
    <w:p>
      <w:pPr>
        <w:spacing w:before="0" w:after="200"/>
      </w:pPr>
      <w:r>
        <w:rPr>
          <w:rFonts w:ascii="Arial" w:cs="Arial" w:eastAsia="Arial" w:hAnsi="Arial"/>
          <w:sz w:val="24"/>
          <w:szCs w:val="24"/>
        </w:rPr>
        <w:t xml:space="preserve">This proves two critical things simultaneously: (1) a non-amyloidogenic IAPP analog performs the required hormonal function, and (2) that analog does not trigger autoimmune attack even in T1D patients with established immune memory. The amyloid structure — not IAPP itself — is what the immune system is responding to.</w:t>
      </w:r>
    </w:p>
    <w:p>
      <w:pPr>
        <w:pStyle w:val="Heading2"/>
      </w:pPr>
      <w:r>
        <w:t xml:space="preserve">Evidence 3: Rodent Evolutionary Biology</w:t>
      </w:r>
    </w:p>
    <w:p>
      <w:pPr>
        <w:spacing w:before="0" w:after="160"/>
      </w:pPr>
      <w:r>
        <w:rPr>
          <w:rFonts w:ascii="Arial" w:cs="Arial" w:eastAsia="Arial" w:hAnsi="Arial"/>
          <w:sz w:val="24"/>
          <w:szCs w:val="24"/>
        </w:rPr>
        <w:t xml:space="preserve">Rats and mice possess naturally occurring proline substitutions at positions 25, 28, and 29 of their IAPP sequence. These substitutions prevent amyloid formation. Rodents do not spontaneously develop Type 1 Diabetes under normal conditions.</w:t>
      </w:r>
    </w:p>
    <w:p>
      <w:pPr>
        <w:spacing w:before="0" w:after="200"/>
      </w:pPr>
      <w:r>
        <w:rPr>
          <w:rFonts w:ascii="Arial" w:cs="Arial" w:eastAsia="Arial" w:hAnsi="Arial"/>
          <w:sz w:val="24"/>
          <w:szCs w:val="24"/>
        </w:rPr>
        <w:t xml:space="preserve">This is not coincidence — it is evolution demonstrating the same principle at the organism level. Where amyloid-forming IAPP does not exist, spontaneous autoimmune beta cell destruction does not occur. Nature has already run the experiment. The outcome is the absence of T1D. This provides a biological blueprint for the therapeutic strategy proposed below.</w:t>
      </w:r>
    </w:p>
    <w:p>
      <w:pPr>
        <w:pStyle w:val="Heading1"/>
      </w:pPr>
      <w:r>
        <w:t xml:space="preserve">Why Silencing IAPP Is Not the Answer</w:t>
      </w:r>
    </w:p>
    <w:p>
      <w:pPr>
        <w:spacing w:before="0" w:after="160"/>
      </w:pPr>
      <w:r>
        <w:rPr>
          <w:rFonts w:ascii="Arial" w:cs="Arial" w:eastAsia="Arial" w:hAnsi="Arial"/>
          <w:sz w:val="24"/>
          <w:szCs w:val="24"/>
        </w:rPr>
        <w:t xml:space="preserve">An initial intuition might be to engineer transplanted beta cells to produce no IAPP at all. However, amylin performs essential metabolic functions that cannot be eliminated without creating a different set of clinical problems:</w:t>
      </w:r>
    </w:p>
    <w:p>
      <w:pPr>
        <w:pStyle w:val="ListParagraph"/>
        <w:numPr>
          <w:ilvl w:val="0"/>
          <w:numId w:val="2"/>
        </w:numPr>
        <w:spacing w:before="60" w:after="60"/>
      </w:pPr>
      <w:r>
        <w:rPr>
          <w:rFonts w:ascii="Arial" w:cs="Arial" w:eastAsia="Arial" w:hAnsi="Arial"/>
          <w:sz w:val="24"/>
          <w:szCs w:val="24"/>
        </w:rPr>
        <w:t xml:space="preserve">Slows gastric emptying, moderating post-meal glucose excursions</w:t>
      </w:r>
    </w:p>
    <w:p>
      <w:pPr>
        <w:pStyle w:val="ListParagraph"/>
        <w:numPr>
          <w:ilvl w:val="0"/>
          <w:numId w:val="2"/>
        </w:numPr>
        <w:spacing w:before="60" w:after="60"/>
      </w:pPr>
      <w:r>
        <w:rPr>
          <w:rFonts w:ascii="Arial" w:cs="Arial" w:eastAsia="Arial" w:hAnsi="Arial"/>
          <w:sz w:val="24"/>
          <w:szCs w:val="24"/>
        </w:rPr>
        <w:t xml:space="preserve">Suppresses glucagon secretion from alpha cells, reducing hepatic glucose output</w:t>
      </w:r>
    </w:p>
    <w:p>
      <w:pPr>
        <w:pStyle w:val="ListParagraph"/>
        <w:numPr>
          <w:ilvl w:val="0"/>
          <w:numId w:val="2"/>
        </w:numPr>
        <w:spacing w:before="60" w:after="200"/>
      </w:pPr>
      <w:r>
        <w:rPr>
          <w:rFonts w:ascii="Arial" w:cs="Arial" w:eastAsia="Arial" w:hAnsi="Arial"/>
          <w:sz w:val="24"/>
          <w:szCs w:val="24"/>
        </w:rPr>
        <w:t xml:space="preserve">Signals satiety to the central nervous system, contributing to appetite regulation and energy homeostasis</w:t>
      </w:r>
    </w:p>
    <w:p>
      <w:pPr>
        <w:spacing w:before="0" w:after="200"/>
      </w:pPr>
      <w:r>
        <w:rPr>
          <w:rFonts w:ascii="Arial" w:cs="Arial" w:eastAsia="Arial" w:hAnsi="Arial"/>
          <w:sz w:val="24"/>
          <w:szCs w:val="24"/>
        </w:rPr>
        <w:t xml:space="preserve">IAPP deficiency is itself a clinical problem in T1D — pramlintide exists precisely because patients lack it and benefit from its replacement. Silencing IAPP in transplanted cells would restore insulin production while introducing amylin deficiency, undermining the therapeutic goal. The solution is not removal. It is modification.</w:t>
      </w:r>
    </w:p>
    <w:p>
      <w:pPr>
        <w:pStyle w:val="Heading1"/>
      </w:pPr>
      <w:r>
        <w:t xml:space="preserve">The Novel Therapeutic Claim</w:t>
      </w:r>
    </w:p>
    <w:p>
      <w:pPr>
        <w:spacing w:before="0" w:after="160"/>
      </w:pPr>
      <w:r>
        <w:rPr>
          <w:rFonts w:ascii="Arial" w:cs="Arial" w:eastAsia="Arial" w:hAnsi="Arial"/>
          <w:sz w:val="24"/>
          <w:szCs w:val="24"/>
        </w:rPr>
        <w:t xml:space="preserve">The hypothesis converges on a specific, previously unclaimed therapeutic intervention:</w:t>
      </w:r>
    </w:p>
    <w:p>
      <w:pPr>
        <w:pBdr>
          <w:top w:val="single" w:color="2E5EA8" w:sz="4" w:space="4"/>
          <w:left w:val="single" w:color="2E5EA8" w:sz="12" w:space="8"/>
          <w:bottom w:val="single" w:color="2E5EA8" w:sz="4" w:space="4"/>
          <w:right w:val="single" w:color="2E5EA8" w:sz="4" w:space="4"/>
        </w:pBdr>
        <w:spacing w:before="120" w:after="120"/>
      </w:pPr>
      <w:r>
        <w:rPr>
          <w:rFonts w:ascii="Arial" w:cs="Arial" w:eastAsia="Arial" w:hAnsi="Arial"/>
          <w:i/>
          <w:iCs/>
          <w:color w:val="1F3864"/>
          <w:sz w:val="24"/>
          <w:szCs w:val="24"/>
        </w:rPr>
        <w:t xml:space="preserve">Gene-edit transplanted beta cells — whether donor-derived, stem cell-derived, or autologous CiPSC-derived — to replace the native IAPP gene with a sequence encoding a non-amyloidogenic analog, so that the cells endogenously produce functional amylin that cannot misfold into the amyloid deposits that trigger autoimmune attack.</w:t>
      </w:r>
    </w:p>
    <w:p>
      <w:pPr>
        <w:spacing w:before="160" w:after="160"/>
      </w:pPr>
      <w:r>
        <w:rPr>
          <w:rFonts w:ascii="Arial" w:cs="Arial" w:eastAsia="Arial" w:hAnsi="Arial"/>
          <w:sz w:val="24"/>
          <w:szCs w:val="24"/>
        </w:rPr>
        <w:t xml:space="preserve">This is categorically distinct from pramlintide. Pramlintide is an externally injected drug that supplements missing amylin from outside the body. This intervention makes the beta cell itself produce the safe version — endogenously, continuously, in physiologically appropriate amounts co-regulated with insulin secretion, exactly as natural amylin would be. No injections. No external supplementation. The cell is simply built differently.</w:t>
      </w:r>
    </w:p>
    <w:p>
      <w:pPr>
        <w:spacing w:before="0" w:after="200"/>
      </w:pPr>
      <w:r>
        <w:rPr>
          <w:rFonts w:ascii="Arial" w:cs="Arial" w:eastAsia="Arial" w:hAnsi="Arial"/>
          <w:b/>
          <w:bCs/>
          <w:sz w:val="24"/>
          <w:szCs w:val="24"/>
        </w:rPr>
        <w:t xml:space="preserve">To the best of the author's knowledge, no existing patent or published research claims this specific application: the use of a non-amyloidogenic IAPP gene sequence in engineered transplanted beta cells for the purpose of preventing autoimmune re-attack in Type 1 Diabetes.</w:t>
      </w:r>
    </w:p>
    <w:p>
      <w:pPr>
        <w:pStyle w:val="Heading1"/>
      </w:pPr>
      <w:r>
        <w:t xml:space="preserve">Proposed Implementation Strategies</w:t>
      </w:r>
    </w:p>
    <w:p>
      <w:pPr>
        <w:pStyle w:val="Heading2"/>
      </w:pPr>
      <w:r>
        <w:t xml:space="preserve">Strategy 1: Pramlintide Sequence Knockin</w:t>
      </w:r>
    </w:p>
    <w:p>
      <w:pPr>
        <w:spacing w:before="0" w:after="200"/>
      </w:pPr>
      <w:r>
        <w:rPr>
          <w:rFonts w:ascii="Arial" w:cs="Arial" w:eastAsia="Arial" w:hAnsi="Arial"/>
          <w:sz w:val="24"/>
          <w:szCs w:val="24"/>
        </w:rPr>
        <w:t xml:space="preserve">The most immediately actionable approach uses the already-proven pramlintide sequence. Using CRISPR/Cas9 or equivalent gene-editing tools, replace the native IAPP coding sequence in transplanted beta cells with the pramlintide sequence (proline substitutions at positions 25, 26, 29). Pramlintide's hormonal function is clinically established. Its non-immunogenicity in T1D patients is clinically demonstrated. This strategy requires the fewest unknowns and has the clearest regulatory pathway, given that pramlintide itself is already FDA-approved.</w:t>
      </w:r>
    </w:p>
    <w:p>
      <w:pPr>
        <w:pStyle w:val="Heading2"/>
      </w:pPr>
      <w:r>
        <w:t xml:space="preserve">Strategy 2: Rodent-Inspired Analog</w:t>
      </w:r>
    </w:p>
    <w:p>
      <w:pPr>
        <w:spacing w:before="0" w:after="200"/>
      </w:pPr>
      <w:r>
        <w:rPr>
          <w:rFonts w:ascii="Arial" w:cs="Arial" w:eastAsia="Arial" w:hAnsi="Arial"/>
          <w:sz w:val="24"/>
          <w:szCs w:val="24"/>
        </w:rPr>
        <w:t xml:space="preserve">Using the rodent IAPP sequence as a template, introduce proline substitutions specifically at position 25 (identified as primarily responsible for loss of amyloidogenicity) with optional additional substitutions. The rodent sequence provides an evolutionary proof of concept for long-term biological compatibility. This approach may offer additional amyloidogenesis resistance compared to the pramlintide substitution pattern.</w:t>
      </w:r>
    </w:p>
    <w:p>
      <w:pPr>
        <w:pStyle w:val="Heading2"/>
      </w:pPr>
      <w:r>
        <w:t xml:space="preserve">Strategy 3: Targeted Epitope Modification</w:t>
      </w:r>
    </w:p>
    <w:p>
      <w:pPr>
        <w:spacing w:before="0" w:after="200"/>
      </w:pPr>
      <w:r>
        <w:rPr>
          <w:rFonts w:ascii="Arial" w:cs="Arial" w:eastAsia="Arial" w:hAnsi="Arial"/>
          <w:sz w:val="24"/>
          <w:szCs w:val="24"/>
        </w:rPr>
        <w:t xml:space="preserve">If the autoimmune response is mediated by T cell recognition of specific structural epitopes on amyloid-form IAPP, a more precise intervention may be possible: identify and modify only the immune-recognized epitopes while preserving the rest of the native sequence. This approach is analogous to viral epitope engineering in vaccine development and could yield a minimally modified analog that evades immune recognition while retaining maximal hormonal function.</w:t>
      </w:r>
    </w:p>
    <w:p>
      <w:pPr>
        <w:pStyle w:val="Heading1"/>
      </w:pPr>
      <w:r>
        <w:t xml:space="preserve">Implications for Current Research Approaches</w:t>
      </w:r>
    </w:p>
    <w:p>
      <w:pPr>
        <w:spacing w:before="0" w:after="120"/>
      </w:pPr>
      <w:r>
        <w:rPr>
          <w:rFonts w:ascii="Arial" w:cs="Arial" w:eastAsia="Arial" w:hAnsi="Arial"/>
          <w:sz w:val="24"/>
          <w:szCs w:val="24"/>
        </w:rPr>
        <w:t xml:space="preserve">If this hypothesis is correct, it reframes the likely long-term outcomes of several leading research programs:</w:t>
      </w:r>
    </w:p>
    <w:p>
      <w:pPr>
        <w:pStyle w:val="ListParagraph"/>
        <w:numPr>
          <w:ilvl w:val="0"/>
          <w:numId w:val="2"/>
        </w:numPr>
        <w:spacing w:before="60" w:after="100"/>
      </w:pPr>
      <w:r>
        <w:rPr>
          <w:rFonts w:ascii="Arial" w:cs="Arial" w:eastAsia="Arial" w:hAnsi="Arial"/>
          <w:b/>
          <w:bCs/>
          <w:sz w:val="24"/>
          <w:szCs w:val="24"/>
        </w:rPr>
        <w:t xml:space="preserve">Peking University CiPSC Trial (ChiCTR2300072200): </w:t>
      </w:r>
      <w:r>
        <w:rPr>
          <w:rFonts w:ascii="Arial" w:cs="Arial" w:eastAsia="Arial" w:hAnsi="Arial"/>
          <w:sz w:val="24"/>
          <w:szCs w:val="24"/>
        </w:rPr>
        <w:t xml:space="preserve">Groundbreaking in demonstrating autologous stem cell-derived beta cell function. However, if the transplanted cells express native IAPP, amyloid deposits will eventually re-form, and the autoimmune cascade will be re-triggered over time — independent of the autologous origin of the cells. Incorporating a non-amyloidogenic IAPP sequence into the CiPSC differentiation protocol could address this vulnerability and meaningfully extend or permanently sustain the functional cure outcome.</w:t>
      </w:r>
    </w:p>
    <w:p>
      <w:pPr>
        <w:pStyle w:val="ListParagraph"/>
        <w:numPr>
          <w:ilvl w:val="0"/>
          <w:numId w:val="2"/>
        </w:numPr>
        <w:spacing w:before="60" w:after="100"/>
      </w:pPr>
      <w:r>
        <w:rPr>
          <w:rFonts w:ascii="Arial" w:cs="Arial" w:eastAsia="Arial" w:hAnsi="Arial"/>
          <w:b/>
          <w:bCs/>
          <w:sz w:val="24"/>
          <w:szCs w:val="24"/>
        </w:rPr>
        <w:t xml:space="preserve">Vertex Zimislecel / VX-880: </w:t>
      </w:r>
      <w:r>
        <w:rPr>
          <w:rFonts w:ascii="Arial" w:cs="Arial" w:eastAsia="Arial" w:hAnsi="Arial"/>
          <w:sz w:val="24"/>
          <w:szCs w:val="24"/>
        </w:rPr>
        <w:t xml:space="preserve">Stem cell-derived donor beta cells with strong early clinical results. Currently requires immunosuppression. If amyloid re-formation is the underlying trigger, immunosuppression manages the downstream response but does not address the cause. The IAPP analog approach could potentially eliminate the need for immunosuppression entirely.</w:t>
      </w:r>
    </w:p>
    <w:p>
      <w:pPr>
        <w:pStyle w:val="ListParagraph"/>
        <w:numPr>
          <w:ilvl w:val="0"/>
          <w:numId w:val="2"/>
        </w:numPr>
        <w:spacing w:before="60" w:after="200"/>
      </w:pPr>
      <w:r>
        <w:rPr>
          <w:rFonts w:ascii="Arial" w:cs="Arial" w:eastAsia="Arial" w:hAnsi="Arial"/>
          <w:b/>
          <w:bCs/>
          <w:sz w:val="24"/>
          <w:szCs w:val="24"/>
        </w:rPr>
        <w:t xml:space="preserve">Eledon Pharmaceuticals / Tegoprubart (University of Chicago): </w:t>
      </w:r>
      <w:r>
        <w:rPr>
          <w:rFonts w:ascii="Arial" w:cs="Arial" w:eastAsia="Arial" w:hAnsi="Arial"/>
          <w:sz w:val="24"/>
          <w:szCs w:val="24"/>
        </w:rPr>
        <w:t xml:space="preserve">Tegoprubart protects transplanted islet cells without broad immune suppression and shows remarkable early results. As a targeted anti-rejection agent it is a significant advance. However, if amyloid-triggered inflammation is the upstream cause of re-attack, tegoprubart addresses the immune response rather than the trigger — suggesting continued lifelong administration will be required. The IAPP analog approach targets the root cause.</w:t>
      </w:r>
    </w:p>
    <w:p>
      <w:pPr>
        <w:pStyle w:val="Heading1"/>
      </w:pPr>
      <w:r>
        <w:t xml:space="preserve">Preliminary Patentability Assessment</w:t>
      </w:r>
    </w:p>
    <w:p>
      <w:pPr>
        <w:spacing w:before="0" w:after="160"/>
      </w:pPr>
      <w:r>
        <w:rPr>
          <w:rFonts w:ascii="Arial" w:cs="Arial" w:eastAsia="Arial" w:hAnsi="Arial"/>
          <w:sz w:val="24"/>
          <w:szCs w:val="24"/>
        </w:rPr>
        <w:t xml:space="preserve">A preliminary review of existing patents and scientific literature suggests the specific therapeutic application described in this document is novel. The following distinctions support patentability:</w:t>
      </w:r>
    </w:p>
    <w:p>
      <w:pPr>
        <w:pStyle w:val="ListParagraph"/>
        <w:numPr>
          <w:ilvl w:val="0"/>
          <w:numId w:val="2"/>
        </w:numPr>
        <w:spacing w:before="60" w:after="60"/>
      </w:pPr>
      <w:r>
        <w:rPr>
          <w:rFonts w:ascii="Arial" w:cs="Arial" w:eastAsia="Arial" w:hAnsi="Arial"/>
          <w:sz w:val="24"/>
          <w:szCs w:val="24"/>
        </w:rPr>
        <w:t xml:space="preserve">Pramlintide (WO patent WO2020077129A1 and related filings) covers IAPP analog polypeptides as injectable therapeutic agents. The present invention differs fundamentally: it concerns endogenous expression of a non-amyloidogenic IAPP sequence within gene-edited transplanted beta cells — not an injectable drug.</w:t>
      </w:r>
    </w:p>
    <w:p>
      <w:pPr>
        <w:pStyle w:val="ListParagraph"/>
        <w:numPr>
          <w:ilvl w:val="0"/>
          <w:numId w:val="2"/>
        </w:numPr>
        <w:spacing w:before="60" w:after="60"/>
      </w:pPr>
      <w:r>
        <w:rPr>
          <w:rFonts w:ascii="Arial" w:cs="Arial" w:eastAsia="Arial" w:hAnsi="Arial"/>
          <w:sz w:val="24"/>
          <w:szCs w:val="24"/>
        </w:rPr>
        <w:t xml:space="preserve">Existing islet transplant and stem cell literature documents IAPP amyloid as a contributor to transplant failure, but no identified publication or patent proposes modifying the IAPP gene in transplanted cells as the therapeutic intervention.</w:t>
      </w:r>
    </w:p>
    <w:p>
      <w:pPr>
        <w:pStyle w:val="ListParagraph"/>
        <w:numPr>
          <w:ilvl w:val="0"/>
          <w:numId w:val="2"/>
        </w:numPr>
        <w:spacing w:before="60" w:after="200"/>
      </w:pPr>
      <w:r>
        <w:rPr>
          <w:rFonts w:ascii="Arial" w:cs="Arial" w:eastAsia="Arial" w:hAnsi="Arial"/>
          <w:sz w:val="24"/>
          <w:szCs w:val="24"/>
        </w:rPr>
        <w:t xml:space="preserve">The framing of IAPP amyloid as the primary autoimmune trigger in T1D — distinct from its role in T2D islet dysfunction — and the specific application of non-amyloidogenic IAPP in transplanted cells as an immune evasion strategy appears to constitute a novel and non-obvious therapeutic claim.</w:t>
      </w:r>
    </w:p>
    <w:p>
      <w:pPr>
        <w:spacing w:before="0" w:after="200"/>
      </w:pPr>
      <w:r>
        <w:rPr>
          <w:rFonts w:ascii="Arial" w:cs="Arial" w:eastAsia="Arial" w:hAnsi="Arial"/>
          <w:i/>
          <w:iCs/>
          <w:sz w:val="24"/>
          <w:szCs w:val="24"/>
        </w:rPr>
        <w:t xml:space="preserve">A professional patentability opinion from a registered patent attorney with biomedical/gene therapy experience is strongly recommended prior to filing. The priority date established by a provisional application filing should be secured promptly given the rapid pace of activity in the beta cell transplantation field.</w:t>
      </w:r>
    </w:p>
    <w:p>
      <w:pPr>
        <w:pStyle w:val="Heading1"/>
      </w:pPr>
      <w:r>
        <w:t xml:space="preserve">Recommended Next Steps</w:t>
      </w:r>
    </w:p>
    <w:p>
      <w:pPr>
        <w:pStyle w:val="ListParagraph"/>
        <w:numPr>
          <w:ilvl w:val="0"/>
          <w:numId w:val="3"/>
        </w:numPr>
        <w:spacing w:before="60" w:after="80"/>
      </w:pPr>
      <w:r>
        <w:rPr>
          <w:rFonts w:ascii="Arial" w:cs="Arial" w:eastAsia="Arial" w:hAnsi="Arial"/>
          <w:b/>
          <w:bCs/>
          <w:sz w:val="24"/>
          <w:szCs w:val="24"/>
        </w:rPr>
        <w:t xml:space="preserve">File a provisional patent application </w:t>
      </w:r>
      <w:r>
        <w:rPr>
          <w:rFonts w:ascii="Arial" w:cs="Arial" w:eastAsia="Arial" w:hAnsi="Arial"/>
          <w:sz w:val="24"/>
          <w:szCs w:val="24"/>
        </w:rPr>
        <w:t xml:space="preserve">to establish a priority date immediately. The provisional is low-cost (~$160-320 filing fee) and buys 12 months before a full application is required.</w:t>
      </w:r>
    </w:p>
    <w:p>
      <w:pPr>
        <w:pStyle w:val="ListParagraph"/>
        <w:numPr>
          <w:ilvl w:val="0"/>
          <w:numId w:val="3"/>
        </w:numPr>
        <w:spacing w:before="60" w:after="80"/>
      </w:pPr>
      <w:r>
        <w:rPr>
          <w:rFonts w:ascii="Arial" w:cs="Arial" w:eastAsia="Arial" w:hAnsi="Arial"/>
          <w:b/>
          <w:bCs/>
          <w:sz w:val="24"/>
          <w:szCs w:val="24"/>
        </w:rPr>
        <w:t xml:space="preserve">Commission a professional patentability search </w:t>
      </w:r>
      <w:r>
        <w:rPr>
          <w:rFonts w:ascii="Arial" w:cs="Arial" w:eastAsia="Arial" w:hAnsi="Arial"/>
          <w:sz w:val="24"/>
          <w:szCs w:val="24"/>
        </w:rPr>
        <w:t xml:space="preserve">from a patent attorney specializing in biomedical/gene therapy to assess freedom to operate and claim scope.</w:t>
      </w:r>
    </w:p>
    <w:p>
      <w:pPr>
        <w:pStyle w:val="ListParagraph"/>
        <w:numPr>
          <w:ilvl w:val="0"/>
          <w:numId w:val="3"/>
        </w:numPr>
        <w:spacing w:before="60" w:after="80"/>
      </w:pPr>
      <w:r>
        <w:rPr>
          <w:rFonts w:ascii="Arial" w:cs="Arial" w:eastAsia="Arial" w:hAnsi="Arial"/>
          <w:b/>
          <w:bCs/>
          <w:sz w:val="24"/>
          <w:szCs w:val="24"/>
        </w:rPr>
        <w:t xml:space="preserve">Contact Dr. Hongkui Deng's lab at Peking University </w:t>
      </w:r>
      <w:r>
        <w:rPr>
          <w:rFonts w:ascii="Arial" w:cs="Arial" w:eastAsia="Arial" w:hAnsi="Arial"/>
          <w:sz w:val="24"/>
          <w:szCs w:val="24"/>
        </w:rPr>
        <w:t xml:space="preserve">to explore collaboration or licensing interest, given their active CiPSC transplant program — the most natural research context for applying this intervention.</w:t>
      </w:r>
    </w:p>
    <w:p>
      <w:pPr>
        <w:pStyle w:val="ListParagraph"/>
        <w:numPr>
          <w:ilvl w:val="0"/>
          <w:numId w:val="3"/>
        </w:numPr>
        <w:spacing w:before="60" w:after="80"/>
      </w:pPr>
      <w:r>
        <w:rPr>
          <w:rFonts w:ascii="Arial" w:cs="Arial" w:eastAsia="Arial" w:hAnsi="Arial"/>
          <w:b/>
          <w:bCs/>
          <w:sz w:val="24"/>
          <w:szCs w:val="24"/>
        </w:rPr>
        <w:t xml:space="preserve">Design a validation experiment: </w:t>
      </w:r>
      <w:r>
        <w:rPr>
          <w:rFonts w:ascii="Arial" w:cs="Arial" w:eastAsia="Arial" w:hAnsi="Arial"/>
          <w:sz w:val="24"/>
          <w:szCs w:val="24"/>
        </w:rPr>
        <w:t xml:space="preserve">Compare autoimmune T cell response in NOD mouse models against beta cells expressing native IAPP versus pramlintide-sequence IAPP. This is the minimum experiment needed to move from hypothesis to published evidence.</w:t>
      </w:r>
    </w:p>
    <w:p>
      <w:pPr>
        <w:pStyle w:val="ListParagraph"/>
        <w:numPr>
          <w:ilvl w:val="0"/>
          <w:numId w:val="3"/>
        </w:numPr>
        <w:spacing w:before="60" w:after="200"/>
      </w:pPr>
      <w:r>
        <w:rPr>
          <w:rFonts w:ascii="Arial" w:cs="Arial" w:eastAsia="Arial" w:hAnsi="Arial"/>
          <w:b/>
          <w:bCs/>
          <w:sz w:val="24"/>
          <w:szCs w:val="24"/>
        </w:rPr>
        <w:t xml:space="preserve">Explore institutional partnership: </w:t>
      </w:r>
      <w:r>
        <w:rPr>
          <w:rFonts w:ascii="Arial" w:cs="Arial" w:eastAsia="Arial" w:hAnsi="Arial"/>
          <w:sz w:val="24"/>
          <w:szCs w:val="24"/>
        </w:rPr>
        <w:t xml:space="preserve">Academic medical centers with active islet transplant programs (University of Chicago, UCSF Diabetes Center, University of Miami Diabetes Research Institute) are logical partners for experimental validation and co-development.</w:t>
      </w:r>
    </w:p>
    <w:p>
      <w:pPr>
        <w:pBdr>
          <w:top w:val="single" w:color="CCCCCC" w:sz="4" w:space="1"/>
        </w:pBdr>
        <w:spacing w:before="400" w:after="120"/>
      </w:pPr>
    </w:p>
    <w:p>
      <w:pPr>
        <w:jc w:val="center"/>
      </w:pPr>
      <w:r>
        <w:rPr>
          <w:rFonts w:ascii="Arial" w:cs="Arial" w:eastAsia="Arial" w:hAnsi="Arial"/>
          <w:i/>
          <w:iCs/>
          <w:color w:val="888888"/>
          <w:sz w:val="18"/>
          <w:szCs w:val="18"/>
        </w:rPr>
        <w:t xml:space="preserve">Originated by Brandon — NEXUS Holdings  |  March 2026  |  Version 2.0  |  Confidential Working Document</w:t>
      </w:r>
    </w:p>
    <w:p>
      <w:pPr>
        <w:spacing w:before="60" w:after="0"/>
        <w:jc w:val="center"/>
      </w:pPr>
      <w:r>
        <w:rPr>
          <w:rFonts w:ascii="Arial" w:cs="Arial" w:eastAsia="Arial" w:hAnsi="Arial"/>
          <w:i/>
          <w:iCs/>
          <w:color w:val="888888"/>
          <w:sz w:val="18"/>
          <w:szCs w:val="18"/>
        </w:rPr>
        <w:t xml:space="preserve">This document establishes authorship and priority of the therapeutic concept described herein. Not for distribution without author consent.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5E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2026-03-26T14:34:53.717Z</dcterms:created>
  <dcterms:modified xsi:type="dcterms:W3CDTF">2026-03-26T14:34:53.717Z</dcterms:modified>
</cp:coreProperties>
</file>

<file path=docProps/custom.xml><?xml version="1.0" encoding="utf-8"?>
<Properties xmlns="http://schemas.openxmlformats.org/officeDocument/2006/custom-properties" xmlns:vt="http://schemas.openxmlformats.org/officeDocument/2006/docPropsVTypes"/>
</file>