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Общий модуль «НормализацияСтрок»</w:t>
      </w:r>
    </w:p>
    <w:p>
      <w:pPr>
        <w:spacing w:after="120"/>
      </w:pPr>
      <w:r>
        <w:t xml:space="preserve">Подключение, правила и примеры использования.</w:t>
      </w:r>
    </w:p>
    <w:p>
      <w:pPr>
        <w:spacing w:after="120"/>
      </w:pPr>
      <w:r>
        <w:t xml:space="preserve">Модуль очищает строковые реквизиты объектов от лишних пробелов, переносов строк, неразрывных пробелов и невидимых символов при записи, а подозрительные значения (смешение кириллицы и латиницы, недопустимые символы в артикулах) не исправляет, а сообщает о них пользователю.</w:t>
      </w:r>
    </w:p>
    <w:p>
      <w:pPr>
        <w:pStyle w:val="Heading1"/>
      </w:pPr>
      <w:r>
        <w:t xml:space="preserve">1. Подключение</w:t>
      </w:r>
    </w:p>
    <w:p>
      <w:pPr>
        <w:pStyle w:val="Heading2"/>
      </w:pPr>
      <w:r>
        <w:t xml:space="preserve">1.1. Один раз на конфигурацию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Перенести объекты библиотеки в конфигурацию: загрузить </w:t>
      </w:r>
      <w:r>
        <w:rPr>
          <w:rFonts w:ascii="Consolas" w:cs="Consolas" w:eastAsia="Consolas" w:hAnsi="Consolas"/>
          <w:sz w:val="20"/>
          <w:szCs w:val="20"/>
        </w:rPr>
        <w:t xml:space="preserve">src/ru</w:t>
      </w:r>
      <w:r>
        <w:t xml:space="preserve"> из репозитория в пустую базу, сохранить в .cf и выполнить «Сравнить, объединить с конфигурацией из файла». Для типовых конфигураций (ERP, УТ, КА) — перенести в расширение.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конфигурации появятся общий модуль </w:t>
      </w:r>
      <w:r>
        <w:rPr>
          <w:rFonts w:ascii="Consolas" w:cs="Consolas" w:eastAsia="Consolas" w:hAnsi="Consolas"/>
          <w:sz w:val="20"/>
          <w:szCs w:val="20"/>
        </w:rPr>
        <w:t xml:space="preserve">НормализацияСтрок</w:t>
      </w:r>
      <w:r>
        <w:t xml:space="preserve"> и обработки «Очистка незначимых символов в строках» и «Тесты». Подписки в библиотеку не входят: платформа не сохраняет подписку без источников. Создайте три подписки, источники заполните при подключении первого объекта: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338"/>
      </w:tblGrid>
      <w:tr>
        <w:trPr>
          <w:tblHeader/>
        </w:trPr>
        <w:tc>
          <w:tcPr>
            <w:tcW w:type="dxa" w:w="2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Событие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Источники</w:t>
            </w:r>
          </w:p>
        </w:tc>
        <w:tc>
          <w:tcPr>
            <w:tcW w:type="dxa" w:w="43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Обработчик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ПередЗаписью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справочники, ПВХ</w:t>
            </w:r>
          </w:p>
        </w:tc>
        <w:tc>
          <w:tcPr>
            <w:tcW w:type="dxa" w:w="43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НормализацияСтрок.ПередЗаписьюОбъекта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ПередЗаписью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документы</w:t>
            </w:r>
          </w:p>
        </w:tc>
        <w:tc>
          <w:tcPr>
            <w:tcW w:type="dxa" w:w="43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НормализацияСтрок.ПередЗаписьюДокумента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ОбработкаПроверкиЗаполнения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все подключаемые объекты</w:t>
            </w:r>
          </w:p>
        </w:tc>
        <w:tc>
          <w:tcPr>
            <w:tcW w:type="dxa" w:w="43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НормализацияСтрок.ОбработкаПроверкиЗаполнения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Для документов нужна отдельная подписка ПередЗаписью, потому что у их события другие параметры (РежимЗаписи, РежимПроведения).</w:t>
      </w:r>
    </w:p>
    <w:p>
      <w:pPr>
        <w:spacing w:after="120"/>
      </w:pPr>
      <w:r>
        <w:t xml:space="preserve">Требования: платформа 8.3.10 и выше, конфигурация на БСП (используются ОбщегоНазначения и ОбщегоНазначенияКлиентСервер).</w:t>
      </w:r>
    </w:p>
    <w:p>
      <w:pPr>
        <w:pStyle w:val="Heading2"/>
      </w:pPr>
      <w:r>
        <w:t xml:space="preserve">1.2. Подключение каждого объекта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Добавить объект в источники подписки ПередЗаписью своего вида и в подписку ОбработкаПроверкиЗаполнения.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 модуле менеджера объекта разместить экспортную процедуру </w:t>
      </w:r>
      <w:r>
        <w:rPr>
          <w:rFonts w:ascii="Consolas" w:cs="Consolas" w:eastAsia="Consolas" w:hAnsi="Consolas"/>
          <w:sz w:val="20"/>
          <w:szCs w:val="20"/>
        </w:rPr>
        <w:t xml:space="preserve">ПриОпределенииНастроекНормализацииСтрок</w:t>
      </w:r>
      <w:r>
        <w:t xml:space="preserve"> и перечислить в ней реквизиты.</w:t>
      </w:r>
    </w:p>
    <w:p>
      <w:pPr>
        <w:spacing w:after="120"/>
      </w:pPr>
    </w:p>
    <w:p>
      <w:pPr>
        <w:shd w:fill="F3F4F6" w:color="auto" w:val="clear"/>
        <w:spacing w:after="0" w:before="6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#Область СлужебныйПрограммныйИнтерфейс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// Описывает реквизиты, которые нормализуются и проверяются при записи.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//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// Параметры: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//  Настройки - Структура - передается в НормализацияСтрок.ДобавитьРеквизит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//                          и НормализацияСтрок.ДобавитьВсеСтроковыеРеквизиты.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//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Процедура ПриОпределенииНастроекНормализацииСтрок(Настройки) Экспорт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   НормализацияСтрок.ДобавитьВсеСтроковыеРеквизиты(Настройки);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   НормализацияСтрок.ДобавитьРеквизит(Настройки, "Артикул", НормализацияСтрок.ПравилоИдентификатор());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#КонецОбласти</w:t>
      </w:r>
    </w:p>
    <w:p>
      <w:pPr>
        <w:spacing w:after="120"/>
      </w:pPr>
      <w:r>
        <w:rPr>
          <w:b/>
          <w:bCs/>
        </w:rPr>
        <w:t xml:space="preserve">Важно.</w:t>
      </w:r>
      <w:r>
        <w:t xml:space="preserve"> Если объект добавлен в подписки, а процедуры в модуле менеджера нет, запись завершится ошибкой «Метод объекта не обнаружен». Это сделано намеренно: неполное подключение обнаруживается при первой же записи.</w:t>
      </w:r>
    </w:p>
    <w:p>
      <w:pPr>
        <w:pStyle w:val="Heading2"/>
      </w:pPr>
      <w:r>
        <w:t xml:space="preserve">1.3. Как указывать реквизиты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Вызов</w:t>
            </w:r>
          </w:p>
        </w:tc>
        <w:tc>
          <w:tcPr>
            <w:tcW w:type="dxa" w:w="62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делает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ДобавитьРеквизит(Настройки, "Наименование")</w:t>
            </w:r>
          </w:p>
        </w:tc>
        <w:tc>
          <w:tcPr>
            <w:tcW w:type="dxa" w:w="62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Реквизит шапки, включая стандартные. Без правила используется ПравилоТекст.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ДобавитьРеквизит(Настройки, "Товары.Содержание")</w:t>
            </w:r>
          </w:p>
        </w:tc>
        <w:tc>
          <w:tcPr>
            <w:tcW w:type="dxa" w:w="62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Реквизит табличной части: путь «ТабличнаяЧасть.Реквизит».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ДобавитьВсеСтроковыеРеквизиты(Настройки, "Исключения")</w:t>
            </w:r>
          </w:p>
        </w:tc>
        <w:tc>
          <w:tcPr>
            <w:tcW w:type="dxa" w:w="62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Все строковые реквизиты шапки и табличных частей, кроме перечисленных через запятую.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t xml:space="preserve">Повторное добавление реквизита заменяет правило, поэтому частные правила пишутся </w:t>
      </w:r>
      <w:r>
        <w:rPr>
          <w:b/>
          <w:bCs/>
        </w:rPr>
        <w:t xml:space="preserve">после</w:t>
      </w:r>
      <w:r>
        <w:t xml:space="preserve"> ДобавитьВсеСтроковыеРеквизиты.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Реквизиты, которых нет у объекта, молча пропускаются.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У иерархических справочников учитывается использование реквизита: реквизит «для элемента» не обрабатывается у группы, и наоборот.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ДобавитьВсеСтроковыеРеквизиты берёт строки ограниченной длины с правилом ПравилоТекст, а неограниченной — с ПравилоМногострочныйТекст. Составные типы, Код и Номер не добавляются.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Служебные строки</w:t>
      </w:r>
      <w:r>
        <w:t xml:space="preserve"> (JSON, XML, сохранённые настройки) обязательно указывать в исключениях — нормализация испортит их содержимое.</w:t>
      </w:r>
    </w:p>
    <w:p>
      <w:pPr>
        <w:pStyle w:val="Heading1"/>
      </w:pPr>
      <w:r>
        <w:t xml:space="preserve">2. Что исправляется автоматически</w:t>
      </w:r>
    </w:p>
    <w:p>
      <w:pPr>
        <w:spacing w:after="120"/>
      </w:pPr>
      <w:r>
        <w:t xml:space="preserve">Однозначный мусор исправляется при записи для всех настроенных реквизитов, независимо от правила: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</w:t>
            </w:r>
          </w:p>
        </w:tc>
        <w:tc>
          <w:tcPr>
            <w:tcW w:type="dxa" w:w="48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Результат</w:t>
            </w:r>
          </w:p>
        </w:tc>
      </w:tr>
      <w:tr>
        <w:trPr>
          <w:tblHeader w:val="off"/>
        </w:trPr>
        <w:tc>
          <w:tcPr>
            <w:tcW w:type="dxa" w:w="4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Пробелы в начале и в конце</w:t>
            </w:r>
          </w:p>
        </w:tc>
        <w:tc>
          <w:tcPr>
            <w:tcW w:type="dxa" w:w="48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удаляются</w:t>
            </w:r>
          </w:p>
        </w:tc>
      </w:tr>
      <w:tr>
        <w:trPr>
          <w:tblHeader w:val="off"/>
        </w:trPr>
        <w:tc>
          <w:tcPr>
            <w:tcW w:type="dxa" w:w="4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Два и более пробела подряд</w:t>
            </w:r>
          </w:p>
        </w:tc>
        <w:tc>
          <w:tcPr>
            <w:tcW w:type="dxa" w:w="48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один пробел</w:t>
            </w:r>
          </w:p>
        </w:tc>
      </w:tr>
      <w:tr>
        <w:trPr>
          <w:tblHeader w:val="off"/>
        </w:trPr>
        <w:tc>
          <w:tcPr>
            <w:tcW w:type="dxa" w:w="4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Табуляция, неразрывный и типографские пробелы</w:t>
            </w:r>
          </w:p>
        </w:tc>
        <w:tc>
          <w:tcPr>
            <w:tcW w:type="dxa" w:w="48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обычный пробел</w:t>
            </w:r>
          </w:p>
        </w:tc>
      </w:tr>
      <w:tr>
        <w:trPr>
          <w:tblHeader w:val="off"/>
        </w:trPr>
        <w:tc>
          <w:tcPr>
            <w:tcW w:type="dxa" w:w="4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Переносы строк в однострочном поле</w:t>
            </w:r>
          </w:p>
        </w:tc>
        <w:tc>
          <w:tcPr>
            <w:tcW w:type="dxa" w:w="48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обычный пробел</w:t>
            </w:r>
          </w:p>
        </w:tc>
      </w:tr>
      <w:tr>
        <w:trPr>
          <w:tblHeader w:val="off"/>
        </w:trPr>
        <w:tc>
          <w:tcPr>
            <w:tcW w:type="dxa" w:w="4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Мягкий перенос, символы нулевой ширины, BOM, метки направления текста, управляющие символы</w:t>
            </w:r>
          </w:p>
        </w:tc>
        <w:tc>
          <w:tcPr>
            <w:tcW w:type="dxa" w:w="48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удаляются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В многострочном поле переносы строк сохраняются, но каждая строка текста чистится отдельно, подряд идущие пустые строки схлопываются в одну, а пустые строки в начале и в конце удаляются.</w:t>
      </w:r>
    </w:p>
    <w:p>
      <w:pPr>
        <w:pStyle w:val="Heading1"/>
      </w:pPr>
      <w:r>
        <w:t xml:space="preserve">3. Правила</w:t>
      </w:r>
    </w:p>
    <w:p>
      <w:pPr>
        <w:spacing w:after="120"/>
      </w:pPr>
      <w:r>
        <w:t xml:space="preserve">Правило определяет, как обрабатывается и проверяется конкретный реквизит. Готовых правил три: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1700"/>
        <w:gridCol w:w="1700"/>
        <w:gridCol w:w="1638"/>
      </w:tblGrid>
      <w:tr>
        <w:trPr>
          <w:tblHeader/>
        </w:trPr>
        <w:tc>
          <w:tcPr>
            <w:tcW w:type="dxa" w:w="25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Правило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Для чего</w:t>
            </w:r>
          </w:p>
        </w:tc>
        <w:tc>
          <w:tcPr>
            <w:tcW w:type="dxa" w:w="1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Переносы строк</w:t>
            </w:r>
          </w:p>
        </w:tc>
        <w:tc>
          <w:tcPr>
            <w:tcW w:type="dxa" w:w="1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Смешение алфавитов</w:t>
            </w:r>
          </w:p>
        </w:tc>
        <w:tc>
          <w:tcPr>
            <w:tcW w:type="dxa" w:w="16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Белый список символов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ПравилоТекст()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наименования, ФИО, адреса</w:t>
            </w:r>
          </w:p>
        </w:tc>
        <w:tc>
          <w:tcPr>
            <w:tcW w:type="dxa" w:w="1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заменяются пробелом</w:t>
            </w:r>
          </w:p>
        </w:tc>
        <w:tc>
          <w:tcPr>
            <w:tcW w:type="dxa" w:w="1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предупреждение</w:t>
            </w:r>
          </w:p>
        </w:tc>
        <w:tc>
          <w:tcPr>
            <w:tcW w:type="dxa" w:w="16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ПравилоМногострочныйТекст()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комментарии, описания</w:t>
            </w:r>
          </w:p>
        </w:tc>
        <w:tc>
          <w:tcPr>
            <w:tcW w:type="dxa" w:w="1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сохраняются</w:t>
            </w:r>
          </w:p>
        </w:tc>
        <w:tc>
          <w:tcPr>
            <w:tcW w:type="dxa" w:w="1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проверяется</w:t>
            </w:r>
          </w:p>
        </w:tc>
        <w:tc>
          <w:tcPr>
            <w:tcW w:type="dxa" w:w="16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ПравилоИдентификатор()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артикулы, коды, номера</w:t>
            </w:r>
          </w:p>
        </w:tc>
        <w:tc>
          <w:tcPr>
            <w:tcW w:type="dxa" w:w="1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заменяются пробелом</w:t>
            </w:r>
          </w:p>
        </w:tc>
        <w:tc>
          <w:tcPr>
            <w:tcW w:type="dxa" w:w="1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ошибка</w:t>
            </w:r>
          </w:p>
        </w:tc>
        <w:tc>
          <w:tcPr>
            <w:tcW w:type="dxa" w:w="16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3.1. Особенности правил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Предупреждение</w:t>
      </w:r>
      <w:r>
        <w:t xml:space="preserve"> выводится пользователю, но запись разрешена. </w:t>
      </w:r>
      <w:r>
        <w:rPr>
          <w:b/>
          <w:bCs/>
        </w:rPr>
        <w:t xml:space="preserve">Ошибка</w:t>
      </w:r>
      <w:r>
        <w:t xml:space="preserve"> запрещает запись.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Смешение алфавитов</w:t>
      </w:r>
      <w:r>
        <w:t xml:space="preserve"> — это кириллица и латиница внутри одного слова, например «Мoлоко» с латинской «o». Такие значения никогда не исправляются автоматически: нельзя надёжно определить, какая буква правильная. Слова целиком на латинице (бренды, единицы измерения) ошибкой не считаются.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Белый список</w:t>
      </w:r>
      <w:r>
        <w:t xml:space="preserve"> у ПравилоИдентификатор: буквы (кириллица и латиница), цифры и спецсимволы </w:t>
      </w:r>
      <w:r>
        <w:rPr>
          <w:rFonts w:ascii="Consolas" w:cs="Consolas" w:eastAsia="Consolas" w:hAnsi="Consolas"/>
          <w:sz w:val="20"/>
          <w:szCs w:val="20"/>
        </w:rPr>
        <w:t xml:space="preserve">-_./</w:t>
      </w:r>
      <w:r>
        <w:t xml:space="preserve">. Одиночный пробел по умолчанию разрешён. Всё остальное — ошибка с указанием символа и его кода.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Проверяется уже </w:t>
      </w:r>
      <w:r>
        <w:rPr>
          <w:b/>
          <w:bCs/>
        </w:rPr>
        <w:t xml:space="preserve">очищенное</w:t>
      </w:r>
      <w:r>
        <w:t xml:space="preserve"> значение, поэтому пользователь не получит ошибку из-за пробела, который всё равно будет удалён.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Учитываются только базовая латиница (A–Z) и русская кириллица. Украинские, казахские и другие буквы в идентификаторах будут считаться недопустимыми.</w:t>
      </w:r>
    </w:p>
    <w:p>
      <w:pPr>
        <w:pStyle w:val="Heading2"/>
      </w:pPr>
      <w:r>
        <w:t xml:space="preserve">3.2. Настройка правила</w:t>
      </w:r>
    </w:p>
    <w:p>
      <w:pPr>
        <w:spacing w:after="120"/>
      </w:pPr>
      <w:r>
        <w:t xml:space="preserve">Правило — это структура, любое её поле можно изменить: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64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Многострочная</w:t>
            </w:r>
          </w:p>
        </w:tc>
        <w:tc>
          <w:tcPr>
            <w:tcW w:type="dxa" w:w="64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Истина — переносы строк сохраняются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ПроверятьСмешениеАлфавитов</w:t>
            </w:r>
          </w:p>
        </w:tc>
        <w:tc>
          <w:tcPr>
            <w:tcW w:type="dxa" w:w="64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Искать слова со смешением кириллицы и латиницы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СмешениеАлфавитовОшибка</w:t>
            </w:r>
          </w:p>
        </w:tc>
        <w:tc>
          <w:tcPr>
            <w:tcW w:type="dxa" w:w="64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Истина — ошибка, Ложь — предупреждение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ДопустимыеСпецсимволы</w:t>
            </w:r>
          </w:p>
        </w:tc>
        <w:tc>
          <w:tcPr>
            <w:tcW w:type="dxa" w:w="64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Символы, разрешённые кроме букв и цифр. Неопределено — белый список не проверяется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ПробелРазрешен</w:t>
            </w:r>
          </w:p>
        </w:tc>
        <w:tc>
          <w:tcPr>
            <w:tcW w:type="dxa" w:w="64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Допустим ли одиночный пробел при проверке по белому списку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У ПравилоИдентификатор есть параметры: </w:t>
      </w:r>
      <w:r>
        <w:rPr>
          <w:rFonts w:ascii="Consolas" w:cs="Consolas" w:eastAsia="Consolas" w:hAnsi="Consolas"/>
          <w:sz w:val="20"/>
          <w:szCs w:val="20"/>
        </w:rPr>
        <w:t xml:space="preserve">ПравилоИдентификатор(ДопустимыеСпецсимволы = "-_./", ПробелРазрешен = Истина)</w:t>
      </w:r>
      <w:r>
        <w:t xml:space="preserve">.</w:t>
      </w:r>
    </w:p>
    <w:p>
      <w:pPr>
        <w:pStyle w:val="Heading1"/>
      </w:pPr>
      <w:r>
        <w:t xml:space="preserve">4. Примеры</w:t>
      </w:r>
    </w:p>
    <w:p>
      <w:pPr>
        <w:pStyle w:val="Heading2"/>
      </w:pPr>
      <w:r>
        <w:t xml:space="preserve">4.1. Справочник «Номенклатура»</w:t>
      </w:r>
    </w:p>
    <w:p>
      <w:pPr>
        <w:spacing w:after="120"/>
      </w:pPr>
      <w:r>
        <w:t xml:space="preserve">Все строковые реквизиты, артикул — как идентификатор.</w:t>
      </w:r>
    </w:p>
    <w:p>
      <w:pPr>
        <w:shd w:fill="F3F4F6" w:color="auto" w:val="clear"/>
        <w:spacing w:after="0" w:before="6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Процедура ПриОпределенииНастроекНормализацииСтрок(Настройки) Экспорт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   НормализацияСтрок.ДобавитьВсеСтроковыеРеквизиты(Настройки);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   НормализацияСтрок.ДобавитьРеквизит(Настройки, "Артикул", НормализацияСтрок.ПравилоИдентификатор());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pStyle w:val="Heading2"/>
      </w:pPr>
      <w:r>
        <w:t xml:space="preserve">4.2. Справочник «Контрагенты»</w:t>
      </w:r>
    </w:p>
    <w:p>
      <w:pPr>
        <w:spacing w:after="120"/>
      </w:pPr>
      <w:r>
        <w:t xml:space="preserve">Только наименования, остальные реквизиты не трогаются.</w:t>
      </w:r>
    </w:p>
    <w:p>
      <w:pPr>
        <w:shd w:fill="F3F4F6" w:color="auto" w:val="clear"/>
        <w:spacing w:after="0" w:before="6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Процедура ПриОпределенииНастроекНормализацииСтрок(Настройки) Экспорт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   НормализацияСтрок.ДобавитьРеквизит(Настройки, "Наименование");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   НормализацияСтрок.ДобавитьРеквизит(Настройки, "НаименованиеПолное");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pStyle w:val="Heading2"/>
      </w:pPr>
      <w:r>
        <w:t xml:space="preserve">4.3. Документ с табличной частью</w:t>
      </w:r>
    </w:p>
    <w:p>
      <w:pPr>
        <w:spacing w:after="120"/>
      </w:pPr>
      <w:r>
        <w:t xml:space="preserve">Многострочный комментарий и реквизит строк табличной части. Ошибки по строкам таблицы показываются на конкретной ячейке.</w:t>
      </w:r>
    </w:p>
    <w:p>
      <w:pPr>
        <w:shd w:fill="F3F4F6" w:color="auto" w:val="clear"/>
        <w:spacing w:after="0" w:before="6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Процедура ПриОпределенииНастроекНормализацииСтрок(Настройки) Экспорт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   НормализацияСтрок.ДобавитьРеквизит(Настройки, "Комментарий", НормализацияСтрок.ПравилоМногострочныйТекст());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   НормализацияСтрок.ДобавитьРеквизит(Настройки, "Товары.Содержание");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pStyle w:val="Heading2"/>
      </w:pPr>
      <w:r>
        <w:t xml:space="preserve">4.4. Все строки, кроме служебных</w:t>
      </w:r>
    </w:p>
    <w:p>
      <w:pPr>
        <w:shd w:fill="F3F4F6" w:color="auto" w:val="clear"/>
        <w:spacing w:after="0" w:before="6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Процедура ПриОпределенииНастроекНормализацииСтрок(Настройки) Экспорт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   НормализацияСтрок.ДобавитьВсеСтроковыеРеквизиты(Настройки, "ДанныеДляОбмена, Товары.КлючСвязи");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pStyle w:val="Heading2"/>
      </w:pPr>
      <w:r>
        <w:t xml:space="preserve">4.5. Своё правило</w:t>
      </w:r>
    </w:p>
    <w:p>
      <w:pPr>
        <w:spacing w:after="120"/>
      </w:pPr>
      <w:r>
        <w:t xml:space="preserve">Код поставщика: разрешён только дефис, пробелы запрещены, смешение алфавитов — только предупреждение.</w:t>
      </w:r>
    </w:p>
    <w:p>
      <w:pPr>
        <w:shd w:fill="F3F4F6" w:color="auto" w:val="clear"/>
        <w:spacing w:after="0" w:before="6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Процедура ПриОпределенииНастроекНормализацииСтрок(Настройки) Экспорт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   Правило = НормализацияСтрок.ПравилоИдентификатор("-", Ложь);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   Правило.СмешениеАлфавитовОшибка = Ложь;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   НормализацияСтрок.ДобавитьРеквизит(Настройки, "КодПоставщика", Правило);</w:t>
      </w:r>
    </w:p>
    <w:p>
      <w:pPr>
        <w:shd w:fill="F3F4F6" w:color="auto" w:val="clear"/>
        <w:spacing w:after="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pStyle w:val="Heading2"/>
      </w:pPr>
      <w:r>
        <w:t xml:space="preserve">4.6. Что увидит пользователь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Ввод</w:t>
            </w:r>
          </w:p>
        </w:tc>
        <w:tc>
          <w:tcPr>
            <w:tcW w:type="dxa" w:w="60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Результат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Наименование «  Молоко  3,2% »</w:t>
            </w:r>
          </w:p>
        </w:tc>
        <w:tc>
          <w:tcPr>
            <w:tcW w:type="dxa" w:w="60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записано «Молоко 3,2%», без сообщений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Наименование «Мoлоко» (латинская o)</w:t>
            </w:r>
          </w:p>
        </w:tc>
        <w:tc>
          <w:tcPr>
            <w:tcW w:type="dxa" w:w="60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предупреждение, запись разрешена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Артикул «АБ#123»</w:t>
            </w:r>
          </w:p>
        </w:tc>
        <w:tc>
          <w:tcPr>
            <w:tcW w:type="dxa" w:w="60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ошибка: недопустимые символы "#" (код 35), запись запрещена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Артикул «AВ123» (латинская A, кириллическая В)</w:t>
            </w:r>
          </w:p>
        </w:tc>
        <w:tc>
          <w:tcPr>
            <w:tcW w:type="dxa" w:w="603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ошибка: смешаны кириллица и латиница, запись запрещена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Что нужно знать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19"/>
        <w:gridCol w:w="3019"/>
      </w:tblGrid>
      <w:tr>
        <w:trPr>
          <w:tblHeader/>
        </w:trPr>
        <w:tc>
          <w:tcPr>
            <w:tcW w:type="dxa" w:w="3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Способ записи</w:t>
            </w:r>
          </w:p>
        </w:tc>
        <w:tc>
          <w:tcPr>
            <w:tcW w:type="dxa" w:w="301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Очистка</w:t>
            </w:r>
          </w:p>
        </w:tc>
        <w:tc>
          <w:tcPr>
            <w:tcW w:type="dxa" w:w="301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E8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Проверка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Интерактивная запись из формы</w:t>
            </w:r>
          </w:p>
        </w:tc>
        <w:tc>
          <w:tcPr>
            <w:tcW w:type="dxa" w:w="301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301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Объект.Записать()</w:t>
            </w:r>
            <w:r>
              <w:t xml:space="preserve"> из кода</w:t>
            </w:r>
          </w:p>
        </w:tc>
        <w:tc>
          <w:tcPr>
            <w:tcW w:type="dxa" w:w="301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301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Загрузка через обмен (ОбменДанными.Загрузка)</w:t>
            </w:r>
          </w:p>
        </w:tc>
        <w:tc>
          <w:tcPr>
            <w:tcW w:type="dxa" w:w="301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  <w:tc>
          <w:tcPr>
            <w:tcW w:type="dxa" w:w="301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t xml:space="preserve">Платформа не вызывает проверку заполнения при программной записи. Если обработка должна соблюдать правила, она вызывает </w:t>
      </w:r>
      <w:r>
        <w:rPr>
          <w:rFonts w:ascii="Consolas" w:cs="Consolas" w:eastAsia="Consolas" w:hAnsi="Consolas"/>
          <w:sz w:val="20"/>
          <w:szCs w:val="20"/>
        </w:rPr>
        <w:t xml:space="preserve">ПроверитьЗаполнение()</w:t>
      </w:r>
      <w:r>
        <w:t xml:space="preserve"> перед </w:t>
      </w:r>
      <w:r>
        <w:rPr>
          <w:rFonts w:ascii="Consolas" w:cs="Consolas" w:eastAsia="Consolas" w:hAnsi="Consolas"/>
          <w:sz w:val="20"/>
          <w:szCs w:val="20"/>
        </w:rPr>
        <w:t xml:space="preserve">Записать()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При обмене модуль ничего не делает. Если очистка нужна, в правилах конвертации или обработке загрузки вызывается </w:t>
      </w:r>
      <w:r>
        <w:rPr>
          <w:rFonts w:ascii="Consolas" w:cs="Consolas" w:eastAsia="Consolas" w:hAnsi="Consolas"/>
          <w:sz w:val="20"/>
          <w:szCs w:val="20"/>
        </w:rPr>
        <w:t xml:space="preserve">НормализацияСтрок.НормализоватьОбъект(Объект)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Отключить обработку для конкретной записи: </w:t>
      </w:r>
      <w:r>
        <w:rPr>
          <w:rFonts w:ascii="Consolas" w:cs="Consolas" w:eastAsia="Consolas" w:hAnsi="Consolas"/>
          <w:sz w:val="20"/>
          <w:szCs w:val="20"/>
        </w:rPr>
        <w:t xml:space="preserve">Объект.ДополнительныеСвойства.Вставить(НормализацияСтрок.ИмяСвойстваОтключения(), Истина)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Подписки защищают только новые записи. Существующие данные очищаются обработкой «Очистка незначимых символов в строках»: «Найти» показывает поля со значениями «было / станет», «Очистить отмеченные» перезаписывает объекты. После очистки запустите типовую обработку «Поиск и удаление дублей».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2937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D4E7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2026-10-07T08:10:14.623Z</dcterms:created>
  <dcterms:modified xsi:type="dcterms:W3CDTF">2026-10-07T08:10:14.624Z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