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Declaration of competing interests</w:t>
      </w:r>
    </w:p>
    <w:p>
      <w:pPr>
        <w:spacing w:after="280"/>
      </w:pPr>
      <w:r>
        <w:t>When Can a Blockchain Monitor Make a Decision? Source-Audited Feature Readiness, Historical State, and Exact-Execution Evidence</w:t>
      </w:r>
    </w:p>
    <w:p>
      <w:r>
        <w:t>Oleksandr Kuznetsov</w:t>
      </w:r>
    </w:p>
    <w:p>
      <w:r>
        <w:t>The author reports financial support for this work from the European Union through PETs4DeFi (Grant Agreement No. 101308999).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of competing interests</dc:title>
  <dc:subject>When Can a Blockchain Monitor Make a Decision? Source-Audited Feature Readiness, Historical State, and Exact-Execution Evidence</dc:subject>
  <dc:creator>Oleksandr Kuznetsov</dc:creator>
  <cp:keywords/>
  <dc:description>generated by python-docx</dc:description>
  <cp:lastModifiedBy>Oleksandr Kuznetsov</cp:lastModifiedBy>
  <cp:revision>1</cp:revision>
  <dcterms:created xsi:type="dcterms:W3CDTF">2026-10-30T00:00:00Z</dcterms:created>
  <dcterms:modified xsi:type="dcterms:W3CDTF">2026-10-30T00:00:00Z</dcterms:modified>
  <cp:category/>
</cp:coreProperties>
</file>