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Highlights</w:t>
      </w:r>
    </w:p>
    <w:p>
      <w:pPr>
        <w:spacing w:after="280"/>
      </w:pPr>
      <w:r>
        <w:t>When Can a Blockchain Monitor Make a Decision? Source-Audited Feature Readiness, Historical State, and Exact-Execution Evidence</w:t>
      </w:r>
    </w:p>
    <w:p>
      <w:r>
        <w:t>Oleksandr Kuznetsov</w:t>
      </w:r>
    </w:p>
    <w:p>
      <w:pPr>
        <w:pStyle w:val="ListBullet"/>
        <w:spacing w:after="240"/>
      </w:pPr>
      <w:r>
        <w:t>We separate observation, feature readiness, triggering and notification delivery.</w:t>
      </w:r>
    </w:p>
    <w:p>
      <w:pPr>
        <w:pStyle w:val="ListBullet"/>
        <w:spacing w:after="240"/>
      </w:pPr>
      <w:r>
        <w:t>In 22 emitters, 130 of 277 nonempty days fail the 20-transaction history gate.</w:t>
      </w:r>
    </w:p>
    <w:p>
      <w:pPr>
        <w:pStyle w:val="ListBullet"/>
        <w:spacing w:after="240"/>
      </w:pPr>
      <w:r>
        <w:t>Event-count readiness is 38.50% for z-score, 1.93% for MAD and 99.52% for EWMA.</w:t>
      </w:r>
    </w:p>
    <w:p>
      <w:pPr>
        <w:pStyle w:val="ListBullet"/>
        <w:spacing w:after="240"/>
      </w:pPr>
      <w:r>
        <w:t>During Nomad's attack-day burst, a daily cap suppresses seven listed candidates.</w:t>
      </w:r>
    </w:p>
    <w:p>
      <w:pPr>
        <w:pStyle w:val="ListBullet"/>
        <w:spacing w:after="240"/>
      </w:pPr>
      <w:r>
        <w:t>A token bucket with unit burst capacity suppresses a known match at a daily cap of 5.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 w:line="276" w:lineRule="auto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Times New Roman" w:hAnsi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  <w:color w:val="00000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Highlights</dc:title>
  <dc:subject>When Can a Blockchain Monitor Make a Decision? Source-Audited Feature Readiness, Historical State, and Exact-Execution Evidence</dc:subject>
  <dc:creator>Oleksandr Kuznetsov</dc:creator>
  <cp:keywords/>
  <dc:description>generated by python-docx</dc:description>
  <cp:lastModifiedBy>Oleksandr Kuznetsov</cp:lastModifiedBy>
  <cp:revision>1</cp:revision>
  <dcterms:created xsi:type="dcterms:W3CDTF">2026-10-30T00:00:00Z</dcterms:created>
  <dcterms:modified xsi:type="dcterms:W3CDTF">2026-10-30T00:00:00Z</dcterms:modified>
  <cp:category/>
</cp:coreProperties>
</file>