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10F1257" w:rsidR="0006142C" w:rsidRDefault="00000000">
      <w:pPr>
        <w:pStyle w:val="Heading1"/>
        <w:keepNext w:val="0"/>
        <w:keepLines w:val="0"/>
        <w:pBdr>
          <w:bottom w:val="single" w:sz="6" w:space="6" w:color="EEEEEE"/>
        </w:pBdr>
        <w:spacing w:before="0" w:after="240" w:line="288" w:lineRule="auto"/>
        <w:jc w:val="center"/>
        <w:rPr>
          <w:b/>
          <w:sz w:val="60"/>
          <w:szCs w:val="60"/>
        </w:rPr>
      </w:pPr>
      <w:r>
        <w:rPr>
          <w:b/>
          <w:sz w:val="60"/>
          <w:szCs w:val="60"/>
        </w:rPr>
        <w:t xml:space="preserve">MOD A </w:t>
      </w:r>
    </w:p>
    <w:p w14:paraId="00000003" w14:textId="06557509" w:rsidR="0006142C" w:rsidRDefault="00000000" w:rsidP="00E12FE1">
      <w:pPr>
        <w:spacing w:line="340" w:lineRule="exact"/>
      </w:pPr>
      <w:bookmarkStart w:id="0" w:name="_mlqwts7giw6d" w:colFirst="0" w:colLast="0"/>
      <w:bookmarkEnd w:id="0"/>
      <w:r>
        <w:t xml:space="preserve">Kamel Daoud's polemic novel </w:t>
      </w:r>
      <w:r>
        <w:rPr>
          <w:u w:val="single"/>
        </w:rPr>
        <w:t>The Meursault Investigation</w:t>
      </w:r>
      <w:r>
        <w:t xml:space="preserve"> 2013 (TMI) reimagines the elements of narrative voice, Arab identity and moral lens of Albert Camus </w:t>
      </w:r>
      <w:proofErr w:type="gramStart"/>
      <w:r>
        <w:rPr>
          <w:u w:val="single"/>
        </w:rPr>
        <w:t>The</w:t>
      </w:r>
      <w:proofErr w:type="gramEnd"/>
      <w:r>
        <w:rPr>
          <w:u w:val="single"/>
        </w:rPr>
        <w:t xml:space="preserve"> Stranger</w:t>
      </w:r>
      <w:r>
        <w:t xml:space="preserve"> (TS) 1943 to </w:t>
      </w:r>
      <w:r w:rsidR="00B52F53">
        <w:t>explore</w:t>
      </w:r>
      <w:r>
        <w:t xml:space="preserve"> post-colonial perspectives, </w:t>
      </w:r>
      <w:r w:rsidR="00B52F53">
        <w:t xml:space="preserve">the </w:t>
      </w:r>
      <w:r>
        <w:t xml:space="preserve">politics of existentialism and </w:t>
      </w:r>
      <w:r w:rsidR="00B52F53">
        <w:t xml:space="preserve">the </w:t>
      </w:r>
      <w:r>
        <w:t>universality of absurdism. By reimagining TS through a postcolonial lens, Daoud gives voice to the historically marginalised Algerian perspective and interrogates the Eurocentric narrative’s erasure of Arab identity. Camus, writing in Nazi-occupied France, explores the absurd as a metaphysical crisis born from the dissonance between human longing and an indifferent universe. Thus, Daoud, who was raised in FLN-ruled Algeria</w:t>
      </w:r>
      <w:r w:rsidR="00B52F53">
        <w:t>, reimagines</w:t>
      </w:r>
      <w:r>
        <w:t xml:space="preserve"> </w:t>
      </w:r>
      <w:r w:rsidR="00B52F53">
        <w:t xml:space="preserve">the philosophical thought in the earlier text through </w:t>
      </w:r>
      <w:r w:rsidR="003747F1">
        <w:t>recontextualisation</w:t>
      </w:r>
      <w:r>
        <w:t>.</w:t>
      </w:r>
    </w:p>
    <w:p w14:paraId="00000004" w14:textId="1657DC5C" w:rsidR="0006142C" w:rsidRDefault="00000000" w:rsidP="00E12FE1">
      <w:pPr>
        <w:spacing w:line="340" w:lineRule="exact"/>
      </w:pPr>
      <w:r>
        <w:t xml:space="preserve">Daoud’s TMI reimagines the Arab perspective in TS giving narrative voice to the marginalised group and </w:t>
      </w:r>
      <w:r w:rsidR="00385207">
        <w:t>revealing</w:t>
      </w:r>
      <w:r>
        <w:t xml:space="preserve"> colonialism's role in othering and dehumanisation. </w:t>
      </w:r>
      <w:r w:rsidR="003747F1" w:rsidRPr="003747F1">
        <w:t>Daoud</w:t>
      </w:r>
      <w:r w:rsidR="003747F1">
        <w:t xml:space="preserve"> through his </w:t>
      </w:r>
      <w:r w:rsidR="003747F1" w:rsidRPr="003747F1">
        <w:t>post-independence</w:t>
      </w:r>
      <w:r w:rsidR="003747F1">
        <w:t xml:space="preserve"> perspective reveals </w:t>
      </w:r>
      <w:r w:rsidR="003747F1" w:rsidRPr="003747F1">
        <w:t xml:space="preserve">Camus’s </w:t>
      </w:r>
      <w:r w:rsidR="003747F1">
        <w:t>Pied-Noir perspective that</w:t>
      </w:r>
      <w:r w:rsidR="003747F1" w:rsidRPr="003747F1">
        <w:t xml:space="preserve"> </w:t>
      </w:r>
      <w:r w:rsidR="002502A7">
        <w:t>constructs</w:t>
      </w:r>
      <w:r w:rsidR="003747F1">
        <w:t xml:space="preserve"> TS a</w:t>
      </w:r>
      <w:r w:rsidR="002502A7">
        <w:t>s a</w:t>
      </w:r>
      <w:r w:rsidR="003747F1">
        <w:t xml:space="preserve"> book that </w:t>
      </w:r>
      <w:r w:rsidR="003747F1" w:rsidRPr="003747F1">
        <w:t>willingly ignores the Arab.</w:t>
      </w:r>
      <w:r w:rsidR="003747F1">
        <w:t xml:space="preserve"> </w:t>
      </w:r>
      <w:r>
        <w:t xml:space="preserve">In TS, Meursault’s apathy is evident in his estranged relationship, “Maman was buried now, … nothing had changed” where Meursault’s truncated sentences and emotional vacancy underscore his filial detachment that is a microcosm of the coloniser’s disconnection from Algeria, allowing for a corrupt subjugation. Additionally, Meursault dehumanises the Arab population, “They were staring at us… as if we were nothing but stones or dead trees”. The simile reflects the corporeal silencing of native Algerians, reducing them to narrative and philosophical mechanisms, rather than individuals. </w:t>
      </w:r>
      <w:r w:rsidR="00F727A4" w:rsidRPr="00F727A4">
        <w:t>Daoud addresses the French literary elite by inserting an Algerian perspective into</w:t>
      </w:r>
      <w:r w:rsidR="00F727A4">
        <w:t xml:space="preserve"> their literary </w:t>
      </w:r>
      <w:r w:rsidR="00F727A4" w:rsidRPr="00F727A4">
        <w:t>space that historically excluded Arab voices</w:t>
      </w:r>
      <w:r w:rsidR="00F727A4">
        <w:t xml:space="preserve">, </w:t>
      </w:r>
      <w:r>
        <w:t xml:space="preserve">“Mother imposed on me the strict duty of reincarnation… she made me wear my brother’s clothes.” The metaphor of ‘reincarnation signifies Harun's forced identity, </w:t>
      </w:r>
      <w:r w:rsidR="00F727A4">
        <w:t>revealing</w:t>
      </w:r>
      <w:r>
        <w:t xml:space="preserve"> </w:t>
      </w:r>
      <w:r w:rsidR="00F727A4">
        <w:t>that Harun becomes othered by</w:t>
      </w:r>
      <w:r>
        <w:t xml:space="preserve"> intergenerational colonial trauma rather than </w:t>
      </w:r>
      <w:r w:rsidR="00F727A4">
        <w:t>a</w:t>
      </w:r>
      <w:r>
        <w:t xml:space="preserve"> philosophical choice</w:t>
      </w:r>
      <w:r w:rsidR="00E12FE1">
        <w:t xml:space="preserve"> like Meursault does</w:t>
      </w:r>
      <w:r>
        <w:t xml:space="preserve">. Daoud critiques </w:t>
      </w:r>
      <w:r w:rsidR="003747F1">
        <w:t>colonial</w:t>
      </w:r>
      <w:r>
        <w:t xml:space="preserve"> erasure, “They watched us…, as if we were nothing but stones or dead </w:t>
      </w:r>
      <w:r w:rsidR="003747F1">
        <w:t>trees “.</w:t>
      </w:r>
      <w:r>
        <w:t xml:space="preserve"> Daoud intertextuality subverts the original text, reclaiming the Arab perspective and </w:t>
      </w:r>
      <w:r w:rsidR="00F727A4">
        <w:t xml:space="preserve">revealing </w:t>
      </w:r>
      <w:r>
        <w:t xml:space="preserve"> how colonialism renders the native population voiceless. It is only through TMI’s reconstruction of the Arab identity </w:t>
      </w:r>
      <w:r w:rsidR="00E12FE1">
        <w:t xml:space="preserve">that </w:t>
      </w:r>
      <w:r>
        <w:t xml:space="preserve">Daoud </w:t>
      </w:r>
      <w:r w:rsidR="00E12FE1">
        <w:t>shifts</w:t>
      </w:r>
      <w:r>
        <w:t xml:space="preserve"> the focus from the antihero’s existential detachment to </w:t>
      </w:r>
      <w:r w:rsidR="00E12FE1">
        <w:t>reveal</w:t>
      </w:r>
      <w:r>
        <w:t xml:space="preserve"> </w:t>
      </w:r>
      <w:r w:rsidR="00E12FE1">
        <w:t>the colonial oppression that causes alienation</w:t>
      </w:r>
      <w:r>
        <w:t>. </w:t>
      </w:r>
    </w:p>
    <w:p w14:paraId="00000005" w14:textId="59ECC803" w:rsidR="0006142C" w:rsidRDefault="002502A7" w:rsidP="00E12FE1">
      <w:pPr>
        <w:spacing w:line="340" w:lineRule="exact"/>
      </w:pPr>
      <w:r>
        <w:t>TMI attempts to reach an existential perspective, however Haruns acts continue to become saturated with meaning, revealing that Camus’ existential detachment can only be achieved through a power imbalance in the political environment, rather than personal choice. Algeria’s ‘</w:t>
      </w:r>
      <w:r w:rsidRPr="002502A7">
        <w:t xml:space="preserve">Code de </w:t>
      </w:r>
      <w:proofErr w:type="spellStart"/>
      <w:r w:rsidRPr="002502A7">
        <w:t>l'Indigénat</w:t>
      </w:r>
      <w:proofErr w:type="spellEnd"/>
      <w:r>
        <w:t>’ laws reduced the Arabs to second-class citizen</w:t>
      </w:r>
      <w:r w:rsidR="00CF5AE6">
        <w:t>s</w:t>
      </w:r>
      <w:r>
        <w:t xml:space="preserve">, allowing for Meursault’s existential detachment. After the murder, the apathetic anti-hero is delineated in the metaphor “it was like </w:t>
      </w:r>
      <w:r>
        <w:lastRenderedPageBreak/>
        <w:t xml:space="preserve">knocking four quick times on the door of unhappiness”, which reflects his lack of empathy towards the Arab that demonstrates a broader French indifference to the colonised “Other. Daoud intertextually responds, describing Harun's own murder of the Frenchman as “two sharp raps on the door of deliverance.” The metaphor “door of deliverance” frames Harun’s act as a pursuit of justice and identity to heal intergenerational colonial wounds, in contrast to Meursault's weightless metaphysical experiment, revealing that existential detachment is by-product of colonial privilege and power structures rather than a personal quirk. </w:t>
      </w:r>
      <w:r w:rsidRPr="002502A7">
        <w:t>As Harun states, "My brother's name was Musa," but in the annals of official history, "he'll remain 'the Arab' forever"</w:t>
      </w:r>
      <w:r>
        <w:t xml:space="preserve">, where the motif of namelessness reveals that the Arabs are unable to achieve an existential existence because of </w:t>
      </w:r>
      <w:r w:rsidR="00CF5AE6">
        <w:t xml:space="preserve">the French </w:t>
      </w:r>
      <w:r>
        <w:t>subjugation erases their individuality</w:t>
      </w:r>
      <w:r w:rsidR="00CF5AE6">
        <w:t xml:space="preserve">, thus inhibiting </w:t>
      </w:r>
      <w:r>
        <w:t xml:space="preserve">authentic existence, a core </w:t>
      </w:r>
      <w:r w:rsidR="00E12FE1">
        <w:t>value of existentialism</w:t>
      </w:r>
      <w:r w:rsidRPr="002502A7">
        <w:t>.</w:t>
      </w:r>
      <w:r>
        <w:t xml:space="preserve"> Thus, by reimagining TS through a postcolonial lens, TMI meaningfully reframes existentialism not as a universal human condition but as a politically contingent experience, shaped by colonial power structures and post-colonial wounds. </w:t>
      </w:r>
    </w:p>
    <w:p w14:paraId="00000006" w14:textId="1EB81667" w:rsidR="0006142C" w:rsidRDefault="00CF5AE6" w:rsidP="00E12FE1">
      <w:pPr>
        <w:spacing w:line="340" w:lineRule="exact"/>
      </w:pPr>
      <w:r>
        <w:t xml:space="preserve">Just as Camus explores the absurd, Daoud re-explores it from the post-colonial Harun, revealing the universality of Absurdism </w:t>
      </w:r>
      <w:r w:rsidR="00385207">
        <w:t>where</w:t>
      </w:r>
      <w:r>
        <w:t xml:space="preserve"> the inevitability of death dismantles imposed narratives of meaning. He enhances the message of the original text by creating another perspective that comes to the same conclusion, thus demonstrating the accessibility of absurdism. Meursault rejects the priest’s theological narrative, “It was better to burn than to disappear.” The biblical imagery of “burn” symbolises a conscious confrontation with the absurd, but also the willingness to endure possible eternal damnation rather than surrender to religion and metaphysically ‘disappear’ into conformity. Daoud intertextually responds, “I had a right to the fire of my presence”. Through Haruns’ declaration ‘I had a right’ he asserts autonomy, revealing that individual existence is justified without belief in shared narratives of the divine, aligning with Camus. TS concludes with the bathetic realisation, “I opened myself to the gentle indifference of the world”, by accepting this “gentle indifference,” Meursault transcends the illusion of purpose, embodying Camus’ absurdist philosophy of liberation in surrendering to the irrationality of existence. Resonating, Harun accepts the “</w:t>
      </w:r>
      <w:r w:rsidRPr="00CF5AE6">
        <w:t>void left by God's nonexistence</w:t>
      </w:r>
      <w:r>
        <w:t>” where he</w:t>
      </w:r>
      <w:r w:rsidRPr="00CF5AE6">
        <w:t xml:space="preserve"> dismantles the ideological foundations that have shaped his life</w:t>
      </w:r>
      <w:r>
        <w:t xml:space="preserve">, revealing </w:t>
      </w:r>
      <w:r w:rsidRPr="00CF5AE6">
        <w:t>that liberation lies not in constructing new universal truths but in affirming the legitimacy of one’s existence</w:t>
      </w:r>
      <w:r>
        <w:t xml:space="preserve">. Through the textual conversations, </w:t>
      </w:r>
      <w:r w:rsidR="00385207">
        <w:t>the</w:t>
      </w:r>
      <w:r>
        <w:t xml:space="preserve"> universality of absurdist ideologies</w:t>
      </w:r>
      <w:r w:rsidR="00385207">
        <w:t xml:space="preserve"> is revealed, where they </w:t>
      </w:r>
      <w:r>
        <w:t xml:space="preserve">transcend cultural and historical boundaries and </w:t>
      </w:r>
      <w:r w:rsidR="007B0B98">
        <w:t>are</w:t>
      </w:r>
      <w:r>
        <w:t xml:space="preserve"> equally accessible by exploring philosophical thought through both the lens colonised and coloniser.</w:t>
      </w:r>
    </w:p>
    <w:p w14:paraId="00000008" w14:textId="254511C3" w:rsidR="0006142C" w:rsidRDefault="00CF5AE6" w:rsidP="00E12FE1">
      <w:pPr>
        <w:spacing w:line="340" w:lineRule="exact"/>
      </w:pPr>
      <w:r>
        <w:t xml:space="preserve">Daoud’s </w:t>
      </w:r>
      <w:r w:rsidR="00E12FE1">
        <w:t>work becomes</w:t>
      </w:r>
      <w:r>
        <w:t xml:space="preserve"> act of literary and historical justice that reclaims a voice and challenges the very notion of a "universal" human experience, revealing the political context that allows for Meursault’s detachment. The conversation Daoud has created bring</w:t>
      </w:r>
      <w:r w:rsidR="00E12FE1">
        <w:t>s</w:t>
      </w:r>
      <w:r>
        <w:t xml:space="preserve"> the Eurocentrism </w:t>
      </w:r>
      <w:r w:rsidR="00E12FE1">
        <w:t xml:space="preserve">in TS </w:t>
      </w:r>
      <w:r>
        <w:t>to light allowing a more complete and nuanced understanding of Camus's classic and the enduring legacy of colonialism, while affirming his absurdist values.</w:t>
      </w:r>
    </w:p>
    <w:p w14:paraId="00000009" w14:textId="77777777" w:rsidR="0006142C" w:rsidRDefault="0006142C">
      <w:pPr>
        <w:spacing w:line="343" w:lineRule="auto"/>
      </w:pPr>
    </w:p>
    <w:p w14:paraId="0000000A" w14:textId="77777777" w:rsidR="0006142C" w:rsidRDefault="0006142C">
      <w:pPr>
        <w:pBdr>
          <w:top w:val="nil"/>
          <w:left w:val="nil"/>
          <w:bottom w:val="nil"/>
          <w:right w:val="nil"/>
          <w:between w:val="nil"/>
        </w:pBdr>
      </w:pPr>
    </w:p>
    <w:sectPr w:rsidR="0006142C">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894E" w14:textId="77777777" w:rsidR="00894D18" w:rsidRDefault="00894D18">
      <w:pPr>
        <w:spacing w:after="0" w:line="240" w:lineRule="auto"/>
      </w:pPr>
      <w:r>
        <w:separator/>
      </w:r>
    </w:p>
  </w:endnote>
  <w:endnote w:type="continuationSeparator" w:id="0">
    <w:p w14:paraId="3F95AAC3" w14:textId="77777777" w:rsidR="00894D18" w:rsidRDefault="00894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E46FC" w14:textId="77777777" w:rsidR="00894D18" w:rsidRDefault="00894D18">
      <w:pPr>
        <w:spacing w:after="0" w:line="240" w:lineRule="auto"/>
      </w:pPr>
      <w:r>
        <w:separator/>
      </w:r>
    </w:p>
  </w:footnote>
  <w:footnote w:type="continuationSeparator" w:id="0">
    <w:p w14:paraId="1574BE7E" w14:textId="77777777" w:rsidR="00894D18" w:rsidRDefault="00894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06142C" w:rsidRDefault="0006142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42C"/>
    <w:rsid w:val="0006142C"/>
    <w:rsid w:val="001106BF"/>
    <w:rsid w:val="001F0E86"/>
    <w:rsid w:val="002502A7"/>
    <w:rsid w:val="00302DE1"/>
    <w:rsid w:val="003747F1"/>
    <w:rsid w:val="00385207"/>
    <w:rsid w:val="003A10F8"/>
    <w:rsid w:val="005957DF"/>
    <w:rsid w:val="00602A4A"/>
    <w:rsid w:val="006132FE"/>
    <w:rsid w:val="00713470"/>
    <w:rsid w:val="007B0B98"/>
    <w:rsid w:val="00894D18"/>
    <w:rsid w:val="009142EF"/>
    <w:rsid w:val="00923624"/>
    <w:rsid w:val="009C0AE3"/>
    <w:rsid w:val="00B52F53"/>
    <w:rsid w:val="00B800CC"/>
    <w:rsid w:val="00C10649"/>
    <w:rsid w:val="00C14417"/>
    <w:rsid w:val="00CF5AE6"/>
    <w:rsid w:val="00D37FA1"/>
    <w:rsid w:val="00E0466A"/>
    <w:rsid w:val="00E12FE1"/>
    <w:rsid w:val="00E66EED"/>
    <w:rsid w:val="00EA59A0"/>
    <w:rsid w:val="00F727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D9ED203"/>
  <w15:docId w15:val="{AA27D136-A0CD-CB4F-97C7-E704192E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GB" w:eastAsia="en-GB"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taylojax2025 - J.Taylor</dc:creator>
  <cp:keywords/>
  <dc:description/>
  <cp:lastModifiedBy>taylojax2025 - J.Taylor</cp:lastModifiedBy>
  <cp:revision>5</cp:revision>
  <dcterms:created xsi:type="dcterms:W3CDTF">2025-09-09T06:34:00Z</dcterms:created>
  <dcterms:modified xsi:type="dcterms:W3CDTF">2025-09-21T00:25:00Z</dcterms:modified>
</cp:coreProperties>
</file>