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Mod 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 Statements: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Fatwa against Daoud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Nazi occupied France vs FLN ruled Algeria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Pied Noir vs post colonial perspective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2009 Arab Spring rise of religious fundamentalism 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Rise of Islamist governance under religious authoritarianism parties, MSP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P1: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Shift in focus from existential to Colonial trauma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“Mother was buried now… nothing had changed”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“They stared at us… as if we were nothing but stones or dead trees”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“Mother imposed on me the strict duty of reincarnation… she made me wear my brothers clothes”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“They watched us… as if we were nothing but stones or dead trees”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P2: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Existentialism contingent on political reality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“It was like four quick knocks on the door of unhappiness”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“It was like two sharp raps on the door of deliverance”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“There’s no one here! There's never been anyone! The mosque is empty”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P3: 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Universality of Absurdism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“It was better to burn than to disappear”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 have a right to the fire of my presence”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 opened myself to the gentle indifference of the world”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“There was never any survivor in that story. Everybody died all at once”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