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bottom w:color="eeeeee" w:space="6" w:sz="6" w:val="single"/>
        </w:pBdr>
        <w:spacing w:after="240" w:before="0" w:line="288" w:lineRule="auto"/>
        <w:jc w:val="center"/>
        <w:rPr>
          <w:b w:val="1"/>
          <w:sz w:val="60"/>
          <w:szCs w:val="60"/>
        </w:rPr>
      </w:pPr>
      <w:bookmarkStart w:colFirst="0" w:colLast="0" w:name="_lj9hzog51b46" w:id="0"/>
      <w:bookmarkEnd w:id="0"/>
      <w:r w:rsidDel="00000000" w:rsidR="00000000" w:rsidRPr="00000000">
        <w:rPr>
          <w:b w:val="1"/>
          <w:sz w:val="60"/>
          <w:szCs w:val="60"/>
          <w:rtl w:val="0"/>
        </w:rPr>
        <w:t xml:space="preserve">MOD A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Q: </w:t>
      </w:r>
    </w:p>
    <w:p w:rsidR="00000000" w:rsidDel="00000000" w:rsidP="00000000" w:rsidRDefault="00000000" w:rsidRPr="00000000" w14:paraId="00000004">
      <w:pPr>
        <w:rPr>
          <w:sz w:val="27"/>
          <w:szCs w:val="27"/>
        </w:rPr>
      </w:pPr>
      <w:r w:rsidDel="00000000" w:rsidR="00000000" w:rsidRPr="00000000">
        <w:rPr>
          <w:sz w:val="27"/>
          <w:szCs w:val="27"/>
          <w:rtl w:val="0"/>
        </w:rPr>
        <w:t xml:space="preserve">“The murderer’s words and expressions are my bien vacant, my vacated property. Besides, the country’s littered with words that don’t belong to anyone anymore…transformed by the strange creole decolonization </w:t>
      </w:r>
      <w:r w:rsidDel="00000000" w:rsidR="00000000" w:rsidRPr="00000000">
        <w:rPr>
          <w:sz w:val="27"/>
          <w:szCs w:val="27"/>
          <w:rtl w:val="0"/>
        </w:rPr>
        <w:t xml:space="preserve">produces</w:t>
      </w:r>
      <w:r w:rsidDel="00000000" w:rsidR="00000000" w:rsidRPr="00000000">
        <w:rPr>
          <w:sz w:val="27"/>
          <w:szCs w:val="27"/>
          <w:rtl w:val="0"/>
        </w:rPr>
        <w:t xml:space="preserve">.” </w:t>
      </w:r>
    </w:p>
    <w:p w:rsidR="00000000" w:rsidDel="00000000" w:rsidP="00000000" w:rsidRDefault="00000000" w:rsidRPr="00000000" w14:paraId="00000005">
      <w:pPr>
        <w:numPr>
          <w:ilvl w:val="0"/>
          <w:numId w:val="1"/>
        </w:numPr>
        <w:ind w:left="720" w:hanging="360"/>
        <w:rPr>
          <w:sz w:val="27"/>
          <w:szCs w:val="27"/>
          <w:u w:val="none"/>
        </w:rPr>
      </w:pPr>
      <w:r w:rsidDel="00000000" w:rsidR="00000000" w:rsidRPr="00000000">
        <w:rPr>
          <w:sz w:val="27"/>
          <w:szCs w:val="27"/>
          <w:rtl w:val="0"/>
        </w:rPr>
        <w:t xml:space="preserve">The Meursault Investigation</w:t>
      </w:r>
    </w:p>
    <w:p w:rsidR="00000000" w:rsidDel="00000000" w:rsidP="00000000" w:rsidRDefault="00000000" w:rsidRPr="00000000" w14:paraId="00000006">
      <w:pPr>
        <w:rPr>
          <w:sz w:val="27"/>
          <w:szCs w:val="27"/>
        </w:rPr>
      </w:pPr>
      <w:r w:rsidDel="00000000" w:rsidR="00000000" w:rsidRPr="00000000">
        <w:rPr>
          <w:sz w:val="27"/>
          <w:szCs w:val="27"/>
          <w:rtl w:val="0"/>
        </w:rPr>
        <w:t xml:space="preserve">To what extent has your study of the </w:t>
      </w:r>
      <w:r w:rsidDel="00000000" w:rsidR="00000000" w:rsidRPr="00000000">
        <w:rPr>
          <w:sz w:val="27"/>
          <w:szCs w:val="27"/>
          <w:shd w:fill="ffe599" w:val="clear"/>
          <w:rtl w:val="0"/>
        </w:rPr>
        <w:t xml:space="preserve">language and form</w:t>
      </w:r>
      <w:r w:rsidDel="00000000" w:rsidR="00000000" w:rsidRPr="00000000">
        <w:rPr>
          <w:sz w:val="27"/>
          <w:szCs w:val="27"/>
          <w:rtl w:val="0"/>
        </w:rPr>
        <w:t xml:space="preserve"> of The Meursault Investigation informed your understanding of the </w:t>
      </w:r>
      <w:r w:rsidDel="00000000" w:rsidR="00000000" w:rsidRPr="00000000">
        <w:rPr>
          <w:sz w:val="27"/>
          <w:szCs w:val="27"/>
          <w:shd w:fill="ffe599" w:val="clear"/>
          <w:rtl w:val="0"/>
        </w:rPr>
        <w:t xml:space="preserve">issues and values</w:t>
      </w:r>
      <w:r w:rsidDel="00000000" w:rsidR="00000000" w:rsidRPr="00000000">
        <w:rPr>
          <w:sz w:val="27"/>
          <w:szCs w:val="27"/>
          <w:rtl w:val="0"/>
        </w:rPr>
        <w:t xml:space="preserve"> presented in The Stranger?</w:t>
      </w:r>
    </w:p>
    <w:p w:rsidR="00000000" w:rsidDel="00000000" w:rsidP="00000000" w:rsidRDefault="00000000" w:rsidRPr="00000000" w14:paraId="00000007">
      <w:pPr>
        <w:rPr>
          <w:sz w:val="27"/>
          <w:szCs w:val="27"/>
        </w:rPr>
      </w:pPr>
      <w:r w:rsidDel="00000000" w:rsidR="00000000" w:rsidRPr="00000000">
        <w:rPr>
          <w:sz w:val="27"/>
          <w:szCs w:val="27"/>
          <w:rtl w:val="0"/>
        </w:rPr>
        <w:t xml:space="preserve">In your response use the reference as a central starting point of your work.</w:t>
      </w:r>
    </w:p>
    <w:p w:rsidR="00000000" w:rsidDel="00000000" w:rsidP="00000000" w:rsidRDefault="00000000" w:rsidRPr="00000000" w14:paraId="00000008">
      <w:pPr>
        <w:rPr/>
      </w:pPr>
      <w:r w:rsidDel="00000000" w:rsidR="00000000" w:rsidRPr="00000000">
        <w:rPr>
          <w:rtl w:val="0"/>
        </w:rPr>
        <w:t xml:space="preserve">To a large extent, Kamel Daoud’s polemic novel </w:t>
      </w:r>
      <w:r w:rsidDel="00000000" w:rsidR="00000000" w:rsidRPr="00000000">
        <w:rPr>
          <w:u w:val="single"/>
          <w:rtl w:val="0"/>
        </w:rPr>
        <w:t xml:space="preserve">The Meursault Investigation</w:t>
      </w:r>
      <w:r w:rsidDel="00000000" w:rsidR="00000000" w:rsidRPr="00000000">
        <w:rPr>
          <w:rtl w:val="0"/>
        </w:rPr>
        <w:t xml:space="preserve"> 2013 (TMI) form takes on a reimagining of Albert Camus </w:t>
      </w:r>
      <w:r w:rsidDel="00000000" w:rsidR="00000000" w:rsidRPr="00000000">
        <w:rPr>
          <w:u w:val="single"/>
          <w:rtl w:val="0"/>
        </w:rPr>
        <w:t xml:space="preserve">The Stranger</w:t>
      </w:r>
      <w:r w:rsidDel="00000000" w:rsidR="00000000" w:rsidRPr="00000000">
        <w:rPr>
          <w:rtl w:val="0"/>
        </w:rPr>
        <w:t xml:space="preserve"> 1943 (TS)’s narrative voice, shifting the language from minimalist and detached to a confrontational monologue. This shift in narrative voice and form reveals the issues of colonial trauma and demonstrates that Meursault's existentialist detachment is politically contingent. Harun’s descriptions in the extract reveals how the language of the colonisers becomes a lasting traumatic experience for the colonisers, an issue which TS overlooks in its exploration of existentialist values. Camus, writing in Nazi-occupied France, explores the values of the absurd as a metaphysical crisis born from the dissonance between the universe's indifference and human longing. Daoud who was raised in FLN-ruled Algeria uses the form setting of a postcolonial Algeria to interrogate the differing political contexts to reveal that TS existentialism is only possible in specific environments, however he reinforces TS value of universally accessible absurdism.</w:t>
      </w:r>
    </w:p>
    <w:p w:rsidR="00000000" w:rsidDel="00000000" w:rsidP="00000000" w:rsidRDefault="00000000" w:rsidRPr="00000000" w14:paraId="00000009">
      <w:pPr>
        <w:spacing w:line="343.6363636363637" w:lineRule="auto"/>
        <w:rPr/>
      </w:pPr>
      <w:r w:rsidDel="00000000" w:rsidR="00000000" w:rsidRPr="00000000">
        <w:br w:type="page"/>
      </w:r>
      <w:r w:rsidDel="00000000" w:rsidR="00000000" w:rsidRPr="00000000">
        <w:rPr>
          <w:rtl w:val="0"/>
        </w:rPr>
      </w:r>
    </w:p>
    <w:p w:rsidR="00000000" w:rsidDel="00000000" w:rsidP="00000000" w:rsidRDefault="00000000" w:rsidRPr="00000000" w14:paraId="0000000A">
      <w:pPr>
        <w:spacing w:line="343.6363636363637" w:lineRule="auto"/>
        <w:rPr/>
      </w:pPr>
      <w:r w:rsidDel="00000000" w:rsidR="00000000" w:rsidRPr="00000000">
        <w:rPr>
          <w:rtl w:val="0"/>
        </w:rPr>
        <w:t xml:space="preserve">Daoud’s TMI reimagines the Meursaults Pied-Noir colonial language in TS, reclaiming it from an Arab post-colonial perspective, revealing the issue of colonialism's role in othering and dehumanisation in TS</w:t>
      </w:r>
      <w:r w:rsidDel="00000000" w:rsidR="00000000" w:rsidRPr="00000000">
        <w:rPr>
          <w:rtl w:val="0"/>
        </w:rPr>
        <w:t xml:space="preserve">. In TS, Meursault’s apathy is evident in his estranged relationship, “Maman was buried now, … nothing had changed” where Meursault’s truncated sentences and emotional vacancy underscore his filial detachment that becomes a catalyst for Camus’ exploration of existentialist detachment. Additionally, Meursault dehumanises the Arab population, “They were staring at us… as if we were nothing but stones or dead trees”. The simile reflects the corporeal silencing of native Algerians, reducing them to narrative and philosophical mechanisms to explore the issue of existentialism. Through </w:t>
      </w:r>
      <w:r w:rsidDel="00000000" w:rsidR="00000000" w:rsidRPr="00000000">
        <w:rPr>
          <w:u w:val="single"/>
          <w:rtl w:val="0"/>
        </w:rPr>
        <w:t xml:space="preserve">TMI's </w:t>
      </w:r>
      <w:r w:rsidDel="00000000" w:rsidR="00000000" w:rsidRPr="00000000">
        <w:rPr>
          <w:rtl w:val="0"/>
        </w:rPr>
        <w:t xml:space="preserve">narrative</w:t>
      </w:r>
      <w:r w:rsidDel="00000000" w:rsidR="00000000" w:rsidRPr="00000000">
        <w:rPr>
          <w:rtl w:val="0"/>
        </w:rPr>
        <w:t xml:space="preserve"> form of a confessional dialogue, Daoud disrupts </w:t>
      </w:r>
      <w:r w:rsidDel="00000000" w:rsidR="00000000" w:rsidRPr="00000000">
        <w:rPr>
          <w:u w:val="single"/>
          <w:rtl w:val="0"/>
        </w:rPr>
        <w:t xml:space="preserve">TS</w:t>
      </w:r>
      <w:r w:rsidDel="00000000" w:rsidR="00000000" w:rsidRPr="00000000">
        <w:rPr>
          <w:rtl w:val="0"/>
        </w:rPr>
        <w:t xml:space="preserve"> Eurocentric silencing by giving Harun a voice that exposes the issue of colonial erasure in the former text, </w:t>
      </w:r>
      <w:r w:rsidDel="00000000" w:rsidR="00000000" w:rsidRPr="00000000">
        <w:rPr>
          <w:rtl w:val="0"/>
        </w:rPr>
        <w:t xml:space="preserve">writing “Mother imposed on me the strict duty of reincarnation… she made me wear my brother’s clothes.” The metaphor of ‘reincarnation signifies Harun's forced identity, showcasing Daoud's reimagining of the archetypal other as a result of intergenerational colonial trauma rather than the philosophical choice Meursault enjoys, revealing the magnitude of the colonial issue in TS. Furthermore, Daoud writes, “The murderer’s words and expressions are my bien vacant, my vacated property.” where the Murderers language becomes a metaphor that reveals that despite Meursault's death, the traumatic impact of colonialism persists, becoming a continually present issue within post colonial Algeria. Daoud's narrative form, where he disrupts Camus’s colonial silences by reclaiming the Arab perspective, reveals the value of colonialism in </w:t>
      </w:r>
      <w:r w:rsidDel="00000000" w:rsidR="00000000" w:rsidRPr="00000000">
        <w:rPr>
          <w:u w:val="single"/>
          <w:rtl w:val="0"/>
        </w:rPr>
        <w:t xml:space="preserve">TS</w:t>
      </w:r>
      <w:r w:rsidDel="00000000" w:rsidR="00000000" w:rsidRPr="00000000">
        <w:rPr>
          <w:rtl w:val="0"/>
        </w:rPr>
        <w:t xml:space="preserve"> that</w:t>
      </w:r>
      <w:r w:rsidDel="00000000" w:rsidR="00000000" w:rsidRPr="00000000">
        <w:rPr>
          <w:rtl w:val="0"/>
        </w:rPr>
        <w:t xml:space="preserve"> renders the native population voiceless. </w:t>
      </w:r>
    </w:p>
    <w:p w:rsidR="00000000" w:rsidDel="00000000" w:rsidP="00000000" w:rsidRDefault="00000000" w:rsidRPr="00000000" w14:paraId="0000000B">
      <w:pPr>
        <w:spacing w:line="343.6363636363637" w:lineRule="auto"/>
        <w:rPr/>
      </w:pPr>
      <w:r w:rsidDel="00000000" w:rsidR="00000000" w:rsidRPr="00000000">
        <w:rPr>
          <w:rtl w:val="0"/>
        </w:rPr>
        <w:t xml:space="preserve">TS tackles the existential issue of living authentically under systems of oppression; through recontextualisation, TMI’s narrative form reimagines the lived experience of Arabs through Harun's retelling, giving respondents deeper understanding of how the value of existential liberation in TS is contingent on political climate rather than only personal choice. Daoud reimagines TS from a post-colonial narrative form and critiques the rise of Islamist governance under religious authoritarianism parties like the MSP, revealing how systems of governance can replicate the same existential confinement once imposed by imperial power. After the murder, the apathetic anti-hero is delineated in the metaphor “it was like knocking four quick times on the door of unhappiness”, which reflects his existentialist values in TS, where his lack of empathy towards the Arab demonstrates a broader indifference to the world. Daoud intertextually mirrors TS form, allowing Harun to commit a muder that he describes as “two sharp raps on the door of deliverance.” The metaphor “door of deliverance” frames Harun’s act as a pursuit of justice and identity to heal intergenerational colonial wounds, in contrast to Meursault's weightless metaphysical experiment. This change in reflective language between the two texts gives respondents a deeper understanding of the existentialist issue in TS, positioning existential detachment as a by-product of colonial privilege and power structures rather than a personal quirk. Furthermore, TMI critiques Islamic fundamentalist governance as preventing existential liberation with Harun’s anaphoric metaphor “There’s no one here! There’s never been anyone! The mosque is empty!” The metaphor of ‘emptiness’ illustrates the lack of authentic lives. Thus, through the shift from sparse narration to a polemic diatribe, the priest posits that colonialist oppression has been replaced with religious fundamentalism. Thus, by reimagining the narrative form of TS through a postcolonial and theological lens, TMI meaningfully reframes TS’s existentialist values not as a universal human condition but as a politically contingent experience, shaped by colonial power structures and post colonial wounds. </w:t>
      </w:r>
    </w:p>
    <w:p w:rsidR="00000000" w:rsidDel="00000000" w:rsidP="00000000" w:rsidRDefault="00000000" w:rsidRPr="00000000" w14:paraId="0000000C">
      <w:pPr>
        <w:spacing w:line="343.6363636363637" w:lineRule="auto"/>
        <w:rPr/>
      </w:pPr>
      <w:r w:rsidDel="00000000" w:rsidR="00000000" w:rsidRPr="00000000">
        <w:rPr>
          <w:u w:val="single"/>
          <w:rtl w:val="0"/>
        </w:rPr>
        <w:t xml:space="preserve">TMI</w:t>
      </w:r>
      <w:r w:rsidDel="00000000" w:rsidR="00000000" w:rsidRPr="00000000">
        <w:rPr>
          <w:rtl w:val="0"/>
        </w:rPr>
        <w:t xml:space="preserve">’s form converges with </w:t>
      </w:r>
      <w:r w:rsidDel="00000000" w:rsidR="00000000" w:rsidRPr="00000000">
        <w:rPr>
          <w:u w:val="single"/>
          <w:rtl w:val="0"/>
        </w:rPr>
        <w:t xml:space="preserve">TS</w:t>
      </w:r>
      <w:r w:rsidDel="00000000" w:rsidR="00000000" w:rsidRPr="00000000">
        <w:rPr>
          <w:rtl w:val="0"/>
        </w:rPr>
        <w:t xml:space="preserve">, where both texts end in an exploration of the absurd. R</w:t>
      </w:r>
      <w:r w:rsidDel="00000000" w:rsidR="00000000" w:rsidRPr="00000000">
        <w:rPr>
          <w:rtl w:val="0"/>
        </w:rPr>
        <w:t xml:space="preserve">esonating with Camus’ absurdist values, Daoud confirms the inevitability of death which dismantles imposed narratives of meaning. Meursault concludes his attack on the priest, “It was better to burn than to disappear.” The biblical imagery of “burn” symbolises a conscious confrontation with the absurd, but also the willingness to endure possible eternal damnation rather than surrender to religion and metaphysically ‘disappear’ into conformity. Daoud’s narrative form enters an intertextual conversation, responding, “I had a right to the fire of my presence”. Through Haruns’ declaration ‘I had a right’ he asserts autonomy, revealing that individual existence is justified without belief in shared narratives of the divine, aligning with Camus. TS concludes with the bathetic realisation, “I opened myself to the gentle indifference of the world”, by accepting this “gentle indifference,” Meursault transcends the illusion of purpose, embodying Camus’ absurdist philosophy of liberation in surrendering to the irrationality of existence. Resonating, TMI concludes “There was never any survivor in that story. Everybody died all at once” aligns with TS, depicting death as the ultimate unifying force. Through Daoud's narrative form that creates textual conversations, legitimacy is given to Camus’ absurdist values as dissonant perspectives come to an aligned conclusion on absurdism, revealing that absurdist values transcends cultural and historical boundaries.</w:t>
      </w:r>
    </w:p>
    <w:p w:rsidR="00000000" w:rsidDel="00000000" w:rsidP="00000000" w:rsidRDefault="00000000" w:rsidRPr="00000000" w14:paraId="0000000D">
      <w:pPr>
        <w:spacing w:line="343.6363636363637" w:lineRule="auto"/>
        <w:rPr/>
      </w:pPr>
      <w:r w:rsidDel="00000000" w:rsidR="00000000" w:rsidRPr="00000000">
        <w:rPr>
          <w:rtl w:val="0"/>
        </w:rPr>
        <w:t xml:space="preserve">Thus, while </w:t>
      </w:r>
      <w:r w:rsidDel="00000000" w:rsidR="00000000" w:rsidRPr="00000000">
        <w:rPr>
          <w:u w:val="single"/>
          <w:rtl w:val="0"/>
        </w:rPr>
        <w:t xml:space="preserve">TS</w:t>
      </w:r>
      <w:r w:rsidDel="00000000" w:rsidR="00000000" w:rsidRPr="00000000">
        <w:rPr>
          <w:rtl w:val="0"/>
        </w:rPr>
        <w:t xml:space="preserve"> is constructed to explore the issues of existentialism and absurdism, Daoud’s narrative form effectively reimagines the language of </w:t>
      </w:r>
      <w:r w:rsidDel="00000000" w:rsidR="00000000" w:rsidRPr="00000000">
        <w:rPr>
          <w:u w:val="single"/>
          <w:rtl w:val="0"/>
        </w:rPr>
        <w:t xml:space="preserve">TS</w:t>
      </w:r>
      <w:r w:rsidDel="00000000" w:rsidR="00000000" w:rsidRPr="00000000">
        <w:rPr>
          <w:rtl w:val="0"/>
        </w:rPr>
        <w:t xml:space="preserve"> from a post-colonial perspective, revealing the Eurocentric colonial values in </w:t>
      </w:r>
      <w:r w:rsidDel="00000000" w:rsidR="00000000" w:rsidRPr="00000000">
        <w:rPr>
          <w:u w:val="single"/>
          <w:rtl w:val="0"/>
        </w:rPr>
        <w:t xml:space="preserve">TS</w:t>
      </w:r>
      <w:r w:rsidDel="00000000" w:rsidR="00000000" w:rsidRPr="00000000">
        <w:rPr>
          <w:rtl w:val="0"/>
        </w:rPr>
        <w:t xml:space="preserve">. Furthermore, this form also exposes the political contingency of existentialism, revealing that Meursault's existentialist values are a product of his colonial political environment rather than his personal choice. Ultimately, Daoud’s deliberate intertextual form reveals that Camus absurdist values are universal and accessible to anyone. </w:t>
      </w:r>
    </w:p>
    <w:p w:rsidR="00000000" w:rsidDel="00000000" w:rsidP="00000000" w:rsidRDefault="00000000" w:rsidRPr="00000000" w14:paraId="0000000E">
      <w:pPr>
        <w:spacing w:line="343.6363636363637" w:lineRule="auto"/>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1"/>
        <w:szCs w:val="21"/>
        <w:lang w:val="en_GB"/>
      </w:rPr>
    </w:rPrDefault>
    <w:pPrDefault>
      <w:pPr>
        <w:spacing w:after="24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