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sz w:val="18"/>
          <w:szCs w:val="18"/>
        </w:rPr>
      </w:pPr>
      <w:r w:rsidDel="00000000" w:rsidR="00000000" w:rsidRPr="00000000">
        <w:rPr>
          <w:b w:val="1"/>
          <w:color w:val="00796b"/>
          <w:sz w:val="60"/>
          <w:szCs w:val="60"/>
          <w:rtl w:val="0"/>
        </w:rPr>
        <w:t xml:space="preserve">Mod A</w:t>
      </w:r>
      <w:r w:rsidDel="00000000" w:rsidR="00000000" w:rsidRPr="00000000">
        <w:rPr>
          <w:rtl w:val="0"/>
        </w:rPr>
      </w:r>
    </w:p>
    <w:p w:rsidR="00000000" w:rsidDel="00000000" w:rsidP="00000000" w:rsidRDefault="00000000" w:rsidRPr="00000000" w14:paraId="00000002">
      <w:pPr>
        <w:pStyle w:val="Heading3"/>
        <w:spacing w:line="343.6363636363637" w:lineRule="auto"/>
        <w:rPr/>
      </w:pPr>
      <w:bookmarkStart w:colFirst="0" w:colLast="0" w:name="_d8u2mj1k2qj4" w:id="0"/>
      <w:bookmarkEnd w:id="0"/>
      <w:r w:rsidDel="00000000" w:rsidR="00000000" w:rsidRPr="00000000">
        <w:rPr>
          <w:rtl w:val="0"/>
        </w:rPr>
        <w:t xml:space="preserve">Q: It is the relationship between </w:t>
      </w:r>
      <w:r w:rsidDel="00000000" w:rsidR="00000000" w:rsidRPr="00000000">
        <w:rPr>
          <w:shd w:fill="ffd966" w:val="clear"/>
          <w:rtl w:val="0"/>
        </w:rPr>
        <w:t xml:space="preserve">form</w:t>
      </w:r>
      <w:r w:rsidDel="00000000" w:rsidR="00000000" w:rsidRPr="00000000">
        <w:rPr>
          <w:rtl w:val="0"/>
        </w:rPr>
        <w:t xml:space="preserve"> and </w:t>
      </w:r>
      <w:r w:rsidDel="00000000" w:rsidR="00000000" w:rsidRPr="00000000">
        <w:rPr>
          <w:shd w:fill="ffd966" w:val="clear"/>
          <w:rtl w:val="0"/>
        </w:rPr>
        <w:t xml:space="preserve">context</w:t>
      </w:r>
      <w:r w:rsidDel="00000000" w:rsidR="00000000" w:rsidRPr="00000000">
        <w:rPr>
          <w:rtl w:val="0"/>
        </w:rPr>
        <w:t xml:space="preserve"> that allows for a </w:t>
      </w:r>
      <w:r w:rsidDel="00000000" w:rsidR="00000000" w:rsidRPr="00000000">
        <w:rPr>
          <w:shd w:fill="ffd966" w:val="clear"/>
          <w:rtl w:val="0"/>
        </w:rPr>
        <w:t xml:space="preserve">reframing</w:t>
      </w:r>
      <w:r w:rsidDel="00000000" w:rsidR="00000000" w:rsidRPr="00000000">
        <w:rPr>
          <w:rtl w:val="0"/>
        </w:rPr>
        <w:t xml:space="preserve"> of</w:t>
      </w:r>
      <w:r w:rsidDel="00000000" w:rsidR="00000000" w:rsidRPr="00000000">
        <w:rPr>
          <w:shd w:fill="ffd966" w:val="clear"/>
          <w:rtl w:val="0"/>
        </w:rPr>
        <w:t xml:space="preserve"> textual values</w:t>
      </w:r>
      <w:r w:rsidDel="00000000" w:rsidR="00000000" w:rsidRPr="00000000">
        <w:rPr>
          <w:rtl w:val="0"/>
        </w:rPr>
        <w:t xml:space="preserve">. </w:t>
      </w:r>
    </w:p>
    <w:p w:rsidR="00000000" w:rsidDel="00000000" w:rsidP="00000000" w:rsidRDefault="00000000" w:rsidRPr="00000000" w14:paraId="00000003">
      <w:pPr>
        <w:pStyle w:val="Heading3"/>
        <w:spacing w:line="343.6363636363637" w:lineRule="auto"/>
        <w:rPr/>
      </w:pPr>
      <w:bookmarkStart w:colFirst="0" w:colLast="0" w:name="_o5ubx49dukkz" w:id="1"/>
      <w:bookmarkEnd w:id="1"/>
      <w:r w:rsidDel="00000000" w:rsidR="00000000" w:rsidRPr="00000000">
        <w:rPr>
          <w:rtl w:val="0"/>
        </w:rPr>
        <w:t xml:space="preserve">To what extent does this align with your understanding of the two texts you have studied?</w:t>
      </w:r>
    </w:p>
    <w:p w:rsidR="00000000" w:rsidDel="00000000" w:rsidP="00000000" w:rsidRDefault="00000000" w:rsidRPr="00000000" w14:paraId="00000004">
      <w:pPr>
        <w:spacing w:line="343.6363636363637" w:lineRule="auto"/>
        <w:rPr/>
      </w:pPr>
      <w:r w:rsidDel="00000000" w:rsidR="00000000" w:rsidRPr="00000000">
        <w:rPr>
          <w:rtl w:val="0"/>
        </w:rPr>
        <w:t xml:space="preserve">To a large extent, </w:t>
      </w:r>
      <w:r w:rsidDel="00000000" w:rsidR="00000000" w:rsidRPr="00000000">
        <w:rPr>
          <w:color w:val="00796b"/>
          <w:rtl w:val="0"/>
        </w:rPr>
        <w:t xml:space="preserve">it is through </w:t>
      </w:r>
      <w:r w:rsidDel="00000000" w:rsidR="00000000" w:rsidRPr="00000000">
        <w:rPr>
          <w:rtl w:val="0"/>
        </w:rPr>
        <w:t xml:space="preserve">Kamel Daoud's </w:t>
      </w:r>
      <w:r w:rsidDel="00000000" w:rsidR="00000000" w:rsidRPr="00000000">
        <w:rPr>
          <w:color w:val="00796b"/>
          <w:rtl w:val="0"/>
        </w:rPr>
        <w:t xml:space="preserve">post colonial FLN-ruled Algeria context and the form of</w:t>
      </w:r>
      <w:r w:rsidDel="00000000" w:rsidR="00000000" w:rsidRPr="00000000">
        <w:rPr>
          <w:rtl w:val="0"/>
        </w:rPr>
        <w:t xml:space="preserve"> </w:t>
      </w:r>
      <w:r w:rsidDel="00000000" w:rsidR="00000000" w:rsidRPr="00000000">
        <w:rPr>
          <w:u w:val="single"/>
          <w:rtl w:val="0"/>
        </w:rPr>
        <w:t xml:space="preserve">The Meursault Investigation</w:t>
      </w:r>
      <w:r w:rsidDel="00000000" w:rsidR="00000000" w:rsidRPr="00000000">
        <w:rPr>
          <w:rtl w:val="0"/>
        </w:rPr>
        <w:t xml:space="preserve"> 2013 (TMI</w:t>
      </w:r>
      <w:r w:rsidDel="00000000" w:rsidR="00000000" w:rsidRPr="00000000">
        <w:rPr>
          <w:color w:val="00796b"/>
          <w:rtl w:val="0"/>
        </w:rPr>
        <w:t xml:space="preserve">) where he reimagines the novel from an Arab perspective that Daoud success reframes</w:t>
      </w:r>
      <w:r w:rsidDel="00000000" w:rsidR="00000000" w:rsidRPr="00000000">
        <w:rPr>
          <w:rtl w:val="0"/>
        </w:rPr>
        <w:t xml:space="preserve"> t</w:t>
      </w:r>
      <w:r w:rsidDel="00000000" w:rsidR="00000000" w:rsidRPr="00000000">
        <w:rPr>
          <w:color w:val="00796b"/>
          <w:rtl w:val="0"/>
        </w:rPr>
        <w:t xml:space="preserve">he moral lens of </w:t>
      </w:r>
      <w:r w:rsidDel="00000000" w:rsidR="00000000" w:rsidRPr="00000000">
        <w:rPr>
          <w:rtl w:val="0"/>
        </w:rPr>
        <w:t xml:space="preserve">Albert Camus </w:t>
      </w:r>
      <w:r w:rsidDel="00000000" w:rsidR="00000000" w:rsidRPr="00000000">
        <w:rPr>
          <w:u w:val="single"/>
          <w:rtl w:val="0"/>
        </w:rPr>
        <w:t xml:space="preserve">The Stranger</w:t>
      </w:r>
      <w:r w:rsidDel="00000000" w:rsidR="00000000" w:rsidRPr="00000000">
        <w:rPr>
          <w:rtl w:val="0"/>
        </w:rPr>
        <w:t xml:space="preserve"> (TS) 1943 </w:t>
      </w:r>
      <w:r w:rsidDel="00000000" w:rsidR="00000000" w:rsidRPr="00000000">
        <w:rPr>
          <w:color w:val="00796b"/>
          <w:rtl w:val="0"/>
        </w:rPr>
        <w:t xml:space="preserve">creating new textual values</w:t>
      </w:r>
      <w:r w:rsidDel="00000000" w:rsidR="00000000" w:rsidRPr="00000000">
        <w:rPr>
          <w:rtl w:val="0"/>
        </w:rPr>
        <w:t xml:space="preserve"> in the form of post-colonial perspectives, politics of existentialism and universality of absurdism. By reimagining TS through a postcolonial lens, Daoud not only gives voice to the historically marginalised Algerian perspective but also interrogates the Eurocentric narrative’s erasure of Arab identity; his message so provocative that it resulted in a fatwa against him. Camus, writing in Nazi-occupied France, explores the absurd as a metaphysical crisis born from the dissonance between human longing and an indifferent universe. Thus, Daoud, who was raised in FLN-ruled Algeria is able to </w:t>
      </w:r>
      <w:r w:rsidDel="00000000" w:rsidR="00000000" w:rsidRPr="00000000">
        <w:rPr>
          <w:color w:val="00796b"/>
          <w:rtl w:val="0"/>
        </w:rPr>
        <w:t xml:space="preserve">reframe the exploration of existentialism by</w:t>
      </w:r>
      <w:r w:rsidDel="00000000" w:rsidR="00000000" w:rsidRPr="00000000">
        <w:rPr>
          <w:rtl w:val="0"/>
        </w:rPr>
        <w:t xml:space="preserve"> reimagining the elements of Arab identity and moral complexity.</w:t>
      </w:r>
    </w:p>
    <w:p w:rsidR="00000000" w:rsidDel="00000000" w:rsidP="00000000" w:rsidRDefault="00000000" w:rsidRPr="00000000" w14:paraId="00000005">
      <w:pPr>
        <w:spacing w:line="343.6363636363637" w:lineRule="auto"/>
        <w:rPr/>
      </w:pPr>
      <w:r w:rsidDel="00000000" w:rsidR="00000000" w:rsidRPr="00000000">
        <w:rPr>
          <w:color w:val="00796b"/>
          <w:rtl w:val="0"/>
        </w:rPr>
        <w:t xml:space="preserve">The form of TMI’ is a reimaging of TS</w:t>
      </w:r>
      <w:r w:rsidDel="00000000" w:rsidR="00000000" w:rsidRPr="00000000">
        <w:rPr>
          <w:rtl w:val="0"/>
        </w:rPr>
        <w:t xml:space="preserve"> </w:t>
      </w:r>
      <w:r w:rsidDel="00000000" w:rsidR="00000000" w:rsidRPr="00000000">
        <w:rPr>
          <w:color w:val="00796b"/>
          <w:rtl w:val="0"/>
        </w:rPr>
        <w:t xml:space="preserve">through the perspective of the dead Arab’s brother, which when combined with the post-colonial context, reframes the text to explore</w:t>
      </w:r>
      <w:r w:rsidDel="00000000" w:rsidR="00000000" w:rsidRPr="00000000">
        <w:rPr>
          <w:rtl w:val="0"/>
        </w:rPr>
        <w:t xml:space="preserve"> the idea of colonialism's role in othering and dehumanisation. Camus explores existential detachment through a Pied-Noir </w:t>
      </w:r>
      <w:r w:rsidDel="00000000" w:rsidR="00000000" w:rsidRPr="00000000">
        <w:rPr>
          <w:color w:val="00796b"/>
          <w:rtl w:val="0"/>
        </w:rPr>
        <w:t xml:space="preserve">context</w:t>
      </w:r>
      <w:r w:rsidDel="00000000" w:rsidR="00000000" w:rsidRPr="00000000">
        <w:rPr>
          <w:rtl w:val="0"/>
        </w:rPr>
        <w:t xml:space="preserve">, whereas Daoud dismantles this colonial viewpoint by reconstructing the narrative through the voice of the formerly silenced Arab, exposing the ideological structures underpinning the original text. In TS, Meursault’s apathy is evident in his estranged relationship, “Maman was buried now, … nothing had changed” where Meursault’s truncated sentences and emotional vacancy underscore his filial detachment that is a microcosm of the coloniser’s disconnection from Algeria, </w:t>
      </w:r>
      <w:r w:rsidDel="00000000" w:rsidR="00000000" w:rsidRPr="00000000">
        <w:rPr>
          <w:color w:val="00796b"/>
          <w:rtl w:val="0"/>
        </w:rPr>
        <w:t xml:space="preserve">revealing how colonial detachment allows for a corrupt subjugation</w:t>
      </w:r>
      <w:r w:rsidDel="00000000" w:rsidR="00000000" w:rsidRPr="00000000">
        <w:rPr>
          <w:rtl w:val="0"/>
        </w:rPr>
        <w:t xml:space="preserve">. Additionally, Meursault dehumanises the Arab population, “They were staring at us… as if we were nothing but stones or dead trees”. The simile reflects the corporeal silencing of native Algerians, reducing them to narrative and philosophical mechanisms, rather than individuals. Daoud writes to the French literary elite, </w:t>
      </w:r>
      <w:r w:rsidDel="00000000" w:rsidR="00000000" w:rsidRPr="00000000">
        <w:rPr>
          <w:color w:val="00796b"/>
          <w:rtl w:val="0"/>
        </w:rPr>
        <w:t xml:space="preserve">reclaiming</w:t>
      </w:r>
      <w:r w:rsidDel="00000000" w:rsidR="00000000" w:rsidRPr="00000000">
        <w:rPr>
          <w:rtl w:val="0"/>
        </w:rPr>
        <w:t xml:space="preserve"> the silenced Arab narrative, writing “Mother imposed on me the strict duty of reincarnation… she made me wear my brother’s clothes.” The metaphor of ‘reincarnation signifies </w:t>
      </w:r>
      <w:r w:rsidDel="00000000" w:rsidR="00000000" w:rsidRPr="00000000">
        <w:rPr>
          <w:color w:val="00796b"/>
          <w:rtl w:val="0"/>
        </w:rPr>
        <w:t xml:space="preserve">Harun's</w:t>
      </w:r>
      <w:r w:rsidDel="00000000" w:rsidR="00000000" w:rsidRPr="00000000">
        <w:rPr>
          <w:rtl w:val="0"/>
        </w:rPr>
        <w:t xml:space="preserve"> forced identity, showcasing Daoud's reimagining of the archetypal other as a result of intergenerational colonial trauma rather than the philosophical choice Meursault enjoys.</w:t>
      </w:r>
      <w:r w:rsidDel="00000000" w:rsidR="00000000" w:rsidRPr="00000000">
        <w:rPr>
          <w:color w:val="00796b"/>
          <w:rtl w:val="0"/>
        </w:rPr>
        <w:t xml:space="preserve"> In doing so Daoud successfully reframes the textual values to consider the permanent nature of colonial wounds on the colonised.</w:t>
      </w:r>
      <w:r w:rsidDel="00000000" w:rsidR="00000000" w:rsidRPr="00000000">
        <w:rPr>
          <w:rtl w:val="0"/>
        </w:rPr>
        <w:t xml:space="preserve"> Daoud critiques Colonial erasure, “They watched us…, as if we were nothing but stones or dead trees.“ Daoud intertextuality subverts the original text, reclaiming the Arab perspective</w:t>
      </w:r>
      <w:r w:rsidDel="00000000" w:rsidR="00000000" w:rsidRPr="00000000">
        <w:rPr>
          <w:color w:val="00796b"/>
          <w:rtl w:val="0"/>
        </w:rPr>
        <w:t xml:space="preserve">, showcasing that</w:t>
      </w:r>
      <w:r w:rsidDel="00000000" w:rsidR="00000000" w:rsidRPr="00000000">
        <w:rPr>
          <w:rtl w:val="0"/>
        </w:rPr>
        <w:t xml:space="preserve"> colonialism renders the native population voiceless</w:t>
      </w:r>
      <w:r w:rsidDel="00000000" w:rsidR="00000000" w:rsidRPr="00000000">
        <w:rPr>
          <w:color w:val="00796b"/>
          <w:rtl w:val="0"/>
        </w:rPr>
        <w:t xml:space="preserve">.</w:t>
      </w:r>
      <w:r w:rsidDel="00000000" w:rsidR="00000000" w:rsidRPr="00000000">
        <w:rPr>
          <w:rtl w:val="0"/>
        </w:rPr>
        <w:t xml:space="preserve"> It is only through TMI’s reconstruction of the Arab identity Daoud generates new </w:t>
      </w:r>
      <w:r w:rsidDel="00000000" w:rsidR="00000000" w:rsidRPr="00000000">
        <w:rPr>
          <w:color w:val="00796b"/>
          <w:rtl w:val="0"/>
        </w:rPr>
        <w:t xml:space="preserve">textual values</w:t>
      </w:r>
      <w:r w:rsidDel="00000000" w:rsidR="00000000" w:rsidRPr="00000000">
        <w:rPr>
          <w:rtl w:val="0"/>
        </w:rPr>
        <w:t xml:space="preserve">, shifting the focus from the antihero’s existential detachment to the rooted alienation caused by colonial oppression. </w:t>
      </w:r>
    </w:p>
    <w:p w:rsidR="00000000" w:rsidDel="00000000" w:rsidP="00000000" w:rsidRDefault="00000000" w:rsidRPr="00000000" w14:paraId="00000006">
      <w:pPr>
        <w:spacing w:line="343.6363636363637" w:lineRule="auto"/>
        <w:rPr>
          <w:color w:val="00796b"/>
        </w:rPr>
      </w:pPr>
      <w:r w:rsidDel="00000000" w:rsidR="00000000" w:rsidRPr="00000000">
        <w:rPr>
          <w:color w:val="00796b"/>
          <w:rtl w:val="0"/>
        </w:rPr>
        <w:t xml:space="preserve">While both TS and TMI explore the concerns of existentialism; through a recontextualisation Daoud reframes existentialism as contingent on social and political realities rather than only personal choice. </w:t>
      </w:r>
      <w:r w:rsidDel="00000000" w:rsidR="00000000" w:rsidRPr="00000000">
        <w:rPr>
          <w:rtl w:val="0"/>
        </w:rPr>
        <w:t xml:space="preserve">Daoud reimagines TS from a post-colonial lens </w:t>
      </w:r>
      <w:r w:rsidDel="00000000" w:rsidR="00000000" w:rsidRPr="00000000">
        <w:rPr>
          <w:color w:val="00796b"/>
          <w:rtl w:val="0"/>
        </w:rPr>
        <w:t xml:space="preserve">to </w:t>
      </w:r>
      <w:r w:rsidDel="00000000" w:rsidR="00000000" w:rsidRPr="00000000">
        <w:rPr>
          <w:rtl w:val="0"/>
        </w:rPr>
        <w:t xml:space="preserve">critique the post 2009 Arab Spring rise of religious fundamentalism, crafting new meaning by exposing the limitations of existential freedom when divorced from historical and political realities. </w:t>
      </w:r>
      <w:r w:rsidDel="00000000" w:rsidR="00000000" w:rsidRPr="00000000">
        <w:rPr>
          <w:color w:val="00796b"/>
          <w:rtl w:val="0"/>
        </w:rPr>
        <w:t xml:space="preserve">After the murder, the apathetic anti-hero is delineated in the metaphor “it was like knocking four quick times on the door of unhappiness”, which reflects his  lack of empathy towards the Arab that demonstrates a broader French indifference to the colonised “Other”, this positions existential detachment as by-product of colonial privilege and power structures rather than a personal quirks.</w:t>
      </w:r>
      <w:r w:rsidDel="00000000" w:rsidR="00000000" w:rsidRPr="00000000">
        <w:rPr>
          <w:rtl w:val="0"/>
        </w:rPr>
        <w:t xml:space="preserve"> During his first clash with the priest, Meursault’s apathy subverts the Catholic dogma, “That was his belief, and if he were ever to doubt it, his life would become meaningless,” The didactic tone exposes the priest’s existential trap of philosophical suicide, </w:t>
      </w:r>
      <w:r w:rsidDel="00000000" w:rsidR="00000000" w:rsidRPr="00000000">
        <w:rPr>
          <w:color w:val="00796b"/>
          <w:rtl w:val="0"/>
        </w:rPr>
        <w:t xml:space="preserve">revealing how</w:t>
      </w:r>
      <w:r w:rsidDel="00000000" w:rsidR="00000000" w:rsidRPr="00000000">
        <w:rPr>
          <w:rtl w:val="0"/>
        </w:rPr>
        <w:t xml:space="preserve"> axiomatic faith</w:t>
      </w:r>
      <w:r w:rsidDel="00000000" w:rsidR="00000000" w:rsidRPr="00000000">
        <w:rPr>
          <w:color w:val="00796b"/>
          <w:rtl w:val="0"/>
        </w:rPr>
        <w:t xml:space="preserve"> </w:t>
      </w:r>
      <w:r w:rsidDel="00000000" w:rsidR="00000000" w:rsidRPr="00000000">
        <w:rPr>
          <w:rtl w:val="0"/>
        </w:rPr>
        <w:t xml:space="preserve">imposes moral relativism</w:t>
      </w:r>
      <w:r w:rsidDel="00000000" w:rsidR="00000000" w:rsidRPr="00000000">
        <w:rPr>
          <w:color w:val="00796b"/>
          <w:rtl w:val="0"/>
        </w:rPr>
        <w:t xml:space="preserve"> that inhibits</w:t>
      </w:r>
      <w:r w:rsidDel="00000000" w:rsidR="00000000" w:rsidRPr="00000000">
        <w:rPr>
          <w:rtl w:val="0"/>
        </w:rPr>
        <w:t xml:space="preserve"> authentic </w:t>
      </w:r>
      <w:r w:rsidDel="00000000" w:rsidR="00000000" w:rsidRPr="00000000">
        <w:rPr>
          <w:color w:val="00796b"/>
          <w:rtl w:val="0"/>
        </w:rPr>
        <w:t xml:space="preserve">existential </w:t>
      </w:r>
      <w:r w:rsidDel="00000000" w:rsidR="00000000" w:rsidRPr="00000000">
        <w:rPr>
          <w:rtl w:val="0"/>
        </w:rPr>
        <w:t xml:space="preserve">existence, evoking Camus’ “existence precedes essence.”</w:t>
      </w:r>
      <w:r w:rsidDel="00000000" w:rsidR="00000000" w:rsidRPr="00000000">
        <w:rPr>
          <w:color w:val="00796b"/>
          <w:rtl w:val="0"/>
        </w:rPr>
        <w:t xml:space="preserve"> Daoud intertextually responds, describing Harun's own murder of the Frenchman as “two sharp raps on the door of deliverance.” The context that allows for the murder is shifted to a pursuit of identity to heal intergenerational colonial wounds evidenced in the metaphor “door of deliverance”, in contrast to the context of a power imbalance that drove Meursault's metaphysical experiment, revealing that existentialist detachment is not a result of personal choice but the result of the political environment. TMI through recontextualisation critiques Islamic fundamentalist governance as preventing existential liberation with Harun’s anaphoric metaphor “There’s no one here! There’s never been anyone! The mosque is empty!” The metaphor of ‘emptiness’ illustrates the lack of authentic lives, revealing that axiomatic faith in any context can prevent existential liberation through imposing moral relativism. Thus, Harun’s diatribe with the priest posits that colonialist oppression has been replaced with religious fundamentalism. By reimagining TS through a postcolonial and theological lens, TMI meaningfully reframes existentialism not as a universal human condition but as a politically contingent experience, shaped by colonial power structures and post colonial wounds.</w:t>
      </w:r>
    </w:p>
    <w:p w:rsidR="00000000" w:rsidDel="00000000" w:rsidP="00000000" w:rsidRDefault="00000000" w:rsidRPr="00000000" w14:paraId="00000007">
      <w:pPr>
        <w:spacing w:line="343.6363636363637" w:lineRule="auto"/>
        <w:rPr/>
      </w:pPr>
      <w:r w:rsidDel="00000000" w:rsidR="00000000" w:rsidRPr="00000000">
        <w:rPr>
          <w:rtl w:val="0"/>
        </w:rPr>
      </w:r>
    </w:p>
    <w:p w:rsidR="00000000" w:rsidDel="00000000" w:rsidP="00000000" w:rsidRDefault="00000000" w:rsidRPr="00000000" w14:paraId="00000008">
      <w:pPr>
        <w:spacing w:line="343.6363636363637" w:lineRule="auto"/>
        <w:rPr>
          <w:color w:val="00796b"/>
        </w:rPr>
      </w:pPr>
      <w:r w:rsidDel="00000000" w:rsidR="00000000" w:rsidRPr="00000000">
        <w:rPr>
          <w:rtl w:val="0"/>
        </w:rPr>
      </w:r>
    </w:p>
    <w:p w:rsidR="00000000" w:rsidDel="00000000" w:rsidP="00000000" w:rsidRDefault="00000000" w:rsidRPr="00000000" w14:paraId="00000009">
      <w:pPr>
        <w:spacing w:line="343.6363636363637" w:lineRule="auto"/>
        <w:rPr>
          <w:color w:val="00796b"/>
        </w:rPr>
      </w:pPr>
      <w:r w:rsidDel="00000000" w:rsidR="00000000" w:rsidRPr="00000000">
        <w:rPr>
          <w:color w:val="00796b"/>
          <w:rtl w:val="0"/>
        </w:rPr>
        <w:t xml:space="preserve">It is also through TMI re-exploring textual values through alternate lenses of experience that TS ideas on absurdism become enhanced, confirming the inevitability of death which dismantles imposed narratives of meaning. </w:t>
      </w:r>
    </w:p>
    <w:p w:rsidR="00000000" w:rsidDel="00000000" w:rsidP="00000000" w:rsidRDefault="00000000" w:rsidRPr="00000000" w14:paraId="0000000A">
      <w:pPr>
        <w:spacing w:line="343.6363636363637" w:lineRule="auto"/>
        <w:rPr/>
      </w:pPr>
      <w:r w:rsidDel="00000000" w:rsidR="00000000" w:rsidRPr="00000000">
        <w:rPr>
          <w:rtl w:val="0"/>
        </w:rPr>
        <w:t xml:space="preserve">Meursault concludes his attack on the priest, “It was better to burn than to disappear.” The biblical imagery of “burn” symbolises a conscious confrontation with the absurd, but also the willingness to endure possible eternal damnation rather than surrender to religion and metaphysically ‘disappear’ into conformity</w:t>
      </w:r>
      <w:r w:rsidDel="00000000" w:rsidR="00000000" w:rsidRPr="00000000">
        <w:rPr>
          <w:color w:val="00796b"/>
          <w:rtl w:val="0"/>
        </w:rPr>
        <w:t xml:space="preserve">, revealing that death gives individuals the right to create their own narratives of meaning</w:t>
      </w:r>
      <w:r w:rsidDel="00000000" w:rsidR="00000000" w:rsidRPr="00000000">
        <w:rPr>
          <w:rtl w:val="0"/>
        </w:rPr>
        <w:t xml:space="preserve">. Daoud intertextually responds, “I had a right to the fire of my presence… which consisted in pushing a corpse to the top of a hill before it rolled back down, endlessly.” The Sisyphean illusion uses ‘corpse’ as metaphor for the self to signify how humans carry the burden of mortality. Through Haruns’ declaration ‘I had a right’ he asserts autonomy, </w:t>
      </w:r>
      <w:r w:rsidDel="00000000" w:rsidR="00000000" w:rsidRPr="00000000">
        <w:rPr>
          <w:color w:val="00796b"/>
          <w:rtl w:val="0"/>
        </w:rPr>
        <w:t xml:space="preserve">revealing that individual existence is justified without belief in shared narratives of the divine, aligning with Camus</w:t>
      </w:r>
      <w:r w:rsidDel="00000000" w:rsidR="00000000" w:rsidRPr="00000000">
        <w:rPr>
          <w:rtl w:val="0"/>
        </w:rPr>
        <w:t xml:space="preserve">. Camus, concludes TS with the bathetic realisation, “I opened myself to the gentle indifference of the world”. By accepting this “gentle indifference,” he transcends the illusion of purpose, embodying </w:t>
      </w:r>
      <w:r w:rsidDel="00000000" w:rsidR="00000000" w:rsidRPr="00000000">
        <w:rPr>
          <w:color w:val="00796b"/>
          <w:rtl w:val="0"/>
        </w:rPr>
        <w:t xml:space="preserve">the</w:t>
      </w:r>
      <w:r w:rsidDel="00000000" w:rsidR="00000000" w:rsidRPr="00000000">
        <w:rPr>
          <w:rtl w:val="0"/>
        </w:rPr>
        <w:t xml:space="preserve"> absurdist philosophy of liberation in surrendering to the irrationality of </w:t>
      </w:r>
      <w:r w:rsidDel="00000000" w:rsidR="00000000" w:rsidRPr="00000000">
        <w:rPr>
          <w:color w:val="00796b"/>
          <w:rtl w:val="0"/>
        </w:rPr>
        <w:t xml:space="preserve">existence</w:t>
      </w:r>
      <w:r w:rsidDel="00000000" w:rsidR="00000000" w:rsidRPr="00000000">
        <w:rPr>
          <w:rtl w:val="0"/>
        </w:rPr>
        <w:t xml:space="preserve">. Haruns concludes TMI with his intertextual statement “There was never any survivor in that story. Everybody died all at once” aligns with TS, depicting death as the ultimate unifying force. </w:t>
      </w:r>
      <w:r w:rsidDel="00000000" w:rsidR="00000000" w:rsidRPr="00000000">
        <w:rPr>
          <w:color w:val="00796b"/>
          <w:rtl w:val="0"/>
        </w:rPr>
        <w:t xml:space="preserve">Thus,</w:t>
      </w:r>
      <w:r w:rsidDel="00000000" w:rsidR="00000000" w:rsidRPr="00000000">
        <w:rPr>
          <w:rtl w:val="0"/>
        </w:rPr>
        <w:t xml:space="preserve"> </w:t>
      </w:r>
      <w:r w:rsidDel="00000000" w:rsidR="00000000" w:rsidRPr="00000000">
        <w:rPr>
          <w:color w:val="00796b"/>
          <w:rtl w:val="0"/>
        </w:rPr>
        <w:t xml:space="preserve">reimaging form and context can also enhance the textual values of the original text, allowing Daoud to reveal that</w:t>
      </w:r>
      <w:r w:rsidDel="00000000" w:rsidR="00000000" w:rsidRPr="00000000">
        <w:rPr>
          <w:rtl w:val="0"/>
        </w:rPr>
        <w:t xml:space="preserve"> absurdist ideologies </w:t>
      </w:r>
      <w:r w:rsidDel="00000000" w:rsidR="00000000" w:rsidRPr="00000000">
        <w:rPr>
          <w:color w:val="00796b"/>
          <w:rtl w:val="0"/>
        </w:rPr>
        <w:t xml:space="preserve">transcend</w:t>
      </w:r>
      <w:r w:rsidDel="00000000" w:rsidR="00000000" w:rsidRPr="00000000">
        <w:rPr>
          <w:rtl w:val="0"/>
        </w:rPr>
        <w:t xml:space="preserve"> cultural and historical boundaries and can be equally accessible</w:t>
      </w:r>
      <w:r w:rsidDel="00000000" w:rsidR="00000000" w:rsidRPr="00000000">
        <w:rPr>
          <w:color w:val="00796b"/>
          <w:rtl w:val="0"/>
        </w:rPr>
        <w:t xml:space="preserve">, evidenced in his</w:t>
      </w:r>
      <w:r w:rsidDel="00000000" w:rsidR="00000000" w:rsidRPr="00000000">
        <w:rPr>
          <w:rtl w:val="0"/>
        </w:rPr>
        <w:t xml:space="preserve"> </w:t>
      </w:r>
      <w:r w:rsidDel="00000000" w:rsidR="00000000" w:rsidRPr="00000000">
        <w:rPr>
          <w:color w:val="00796b"/>
          <w:rtl w:val="0"/>
        </w:rPr>
        <w:t xml:space="preserve">exploration of philosophical</w:t>
      </w:r>
      <w:r w:rsidDel="00000000" w:rsidR="00000000" w:rsidRPr="00000000">
        <w:rPr>
          <w:rtl w:val="0"/>
        </w:rPr>
        <w:t xml:space="preserve"> thought through the lens of the formerly colonised.</w:t>
      </w:r>
    </w:p>
    <w:p w:rsidR="00000000" w:rsidDel="00000000" w:rsidP="00000000" w:rsidRDefault="00000000" w:rsidRPr="00000000" w14:paraId="0000000B">
      <w:pPr>
        <w:spacing w:line="343.6363636363637" w:lineRule="auto"/>
        <w:rPr>
          <w:b w:val="1"/>
          <w:sz w:val="18"/>
          <w:szCs w:val="18"/>
        </w:rPr>
      </w:pPr>
      <w:r w:rsidDel="00000000" w:rsidR="00000000" w:rsidRPr="00000000">
        <w:rPr>
          <w:color w:val="00796b"/>
          <w:rtl w:val="0"/>
        </w:rPr>
        <w:t xml:space="preserve">Thus, through TMI’s reimaging of form and context, he reveals the relationship between them, allowing for a shift of textual values in TS from a focus on Meursault's apathetic detachment to the lasting psychological and physical burden that the colonised face due to colonial rule. Additionally, the reimaging of the context that allows for Meursault's existential detachment, critiques TS presentation of existentialism and instead reframes the textual values in TMI to demonstrate that existentialism in inextricability is bound to material conditions and social history. TMI also demonstrates how the original textual values can be enhanced by re-exploring them from alternate lenses of experience  to build legitimacy.</w:t>
      </w: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333333"/>
        <w:sz w:val="21"/>
        <w:szCs w:val="21"/>
        <w:lang w:val="en_GB"/>
      </w:rPr>
    </w:rPrDefault>
    <w:pPrDefault>
      <w:pPr>
        <w:spacing w:after="240"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